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b/>
          <w:bCs/>
          <w:kern w:val="0"/>
          <w:sz w:val="24"/>
          <w:szCs w:val="24"/>
          <w:highlight w:val="none"/>
        </w:rPr>
      </w:pPr>
      <w:r>
        <w:rPr>
          <w:rFonts w:hint="eastAsia" w:ascii="宋体" w:hAnsi="宋体" w:cs="宋体"/>
          <w:b/>
          <w:bCs/>
          <w:kern w:val="0"/>
          <w:sz w:val="24"/>
          <w:szCs w:val="24"/>
          <w:highlight w:val="none"/>
        </w:rPr>
        <w:t>公告资产清单</w:t>
      </w:r>
    </w:p>
    <w:tbl>
      <w:tblPr>
        <w:tblStyle w:val="3"/>
        <w:tblW w:w="9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0"/>
        <w:gridCol w:w="1250"/>
        <w:gridCol w:w="1680"/>
        <w:gridCol w:w="1630"/>
        <w:gridCol w:w="1170"/>
        <w:gridCol w:w="1550"/>
        <w:gridCol w:w="1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9760" w:type="dxa"/>
            <w:gridSpan w:val="7"/>
            <w:noWrap w:val="0"/>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基准日：202</w:t>
            </w:r>
            <w:r>
              <w:rPr>
                <w:rFonts w:hint="eastAsia" w:ascii="宋体" w:hAnsi="宋体" w:eastAsia="宋体" w:cs="宋体"/>
                <w:kern w:val="0"/>
                <w:sz w:val="18"/>
                <w:szCs w:val="18"/>
                <w:lang w:val="en-US" w:eastAsia="zh-CN"/>
              </w:rPr>
              <w:t>5</w:t>
            </w:r>
            <w:r>
              <w:rPr>
                <w:rFonts w:hint="eastAsia" w:ascii="宋体" w:hAnsi="宋体" w:eastAsia="宋体" w:cs="宋体"/>
                <w:kern w:val="0"/>
                <w:sz w:val="18"/>
                <w:szCs w:val="18"/>
              </w:rPr>
              <w:t>年</w:t>
            </w:r>
            <w:r>
              <w:rPr>
                <w:rFonts w:hint="eastAsia" w:ascii="宋体" w:hAnsi="宋体" w:cs="宋体"/>
                <w:kern w:val="0"/>
                <w:sz w:val="18"/>
                <w:szCs w:val="18"/>
                <w:lang w:val="en-US" w:eastAsia="zh-CN"/>
              </w:rPr>
              <w:t>8</w:t>
            </w:r>
            <w:r>
              <w:rPr>
                <w:rFonts w:hint="eastAsia" w:ascii="宋体" w:hAnsi="宋体" w:eastAsia="宋体" w:cs="宋体"/>
                <w:kern w:val="0"/>
                <w:sz w:val="18"/>
                <w:szCs w:val="18"/>
              </w:rPr>
              <w:t>月</w:t>
            </w:r>
            <w:r>
              <w:rPr>
                <w:rFonts w:hint="eastAsia" w:ascii="宋体" w:hAnsi="宋体" w:cs="宋体"/>
                <w:kern w:val="0"/>
                <w:sz w:val="18"/>
                <w:szCs w:val="18"/>
                <w:lang w:val="en-US" w:eastAsia="zh-CN"/>
              </w:rPr>
              <w:t>31</w:t>
            </w:r>
            <w:r>
              <w:rPr>
                <w:rFonts w:hint="eastAsia" w:ascii="宋体" w:hAnsi="宋体" w:eastAsia="宋体" w:cs="宋体"/>
                <w:kern w:val="0"/>
                <w:sz w:val="18"/>
                <w:szCs w:val="18"/>
              </w:rPr>
              <w:t xml:space="preserve">日 </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rPr>
              <w:t xml:space="preserve">      </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rPr>
              <w:t xml:space="preserve">    </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rPr>
              <w:t xml:space="preserve">                                 货币单位：人民币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600" w:type="dxa"/>
            <w:noWrap w:val="0"/>
            <w:vAlign w:val="center"/>
          </w:tcPr>
          <w:p>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序号</w:t>
            </w:r>
          </w:p>
        </w:tc>
        <w:tc>
          <w:tcPr>
            <w:tcW w:w="1250" w:type="dxa"/>
            <w:noWrap w:val="0"/>
            <w:vAlign w:val="center"/>
          </w:tcPr>
          <w:p>
            <w:pPr>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债务人名称</w:t>
            </w:r>
          </w:p>
        </w:tc>
        <w:tc>
          <w:tcPr>
            <w:tcW w:w="1680" w:type="dxa"/>
            <w:noWrap w:val="0"/>
            <w:vAlign w:val="center"/>
          </w:tcPr>
          <w:p>
            <w:pPr>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本金</w:t>
            </w:r>
          </w:p>
        </w:tc>
        <w:tc>
          <w:tcPr>
            <w:tcW w:w="1630" w:type="dxa"/>
            <w:noWrap w:val="0"/>
            <w:vAlign w:val="center"/>
          </w:tcPr>
          <w:p>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利息</w:t>
            </w:r>
          </w:p>
        </w:tc>
        <w:tc>
          <w:tcPr>
            <w:tcW w:w="1170" w:type="dxa"/>
            <w:noWrap w:val="0"/>
            <w:vAlign w:val="center"/>
          </w:tcPr>
          <w:p>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其他债权</w:t>
            </w:r>
          </w:p>
        </w:tc>
        <w:tc>
          <w:tcPr>
            <w:tcW w:w="1550" w:type="dxa"/>
            <w:noWrap w:val="0"/>
            <w:vAlign w:val="center"/>
          </w:tcPr>
          <w:p>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担保人</w:t>
            </w:r>
          </w:p>
        </w:tc>
        <w:tc>
          <w:tcPr>
            <w:tcW w:w="1880" w:type="dxa"/>
            <w:noWrap w:val="0"/>
            <w:vAlign w:val="center"/>
          </w:tcPr>
          <w:p>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担保物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600" w:type="dxa"/>
            <w:noWrap w:val="0"/>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w:t>
            </w:r>
          </w:p>
        </w:tc>
        <w:tc>
          <w:tcPr>
            <w:tcW w:w="1250" w:type="dxa"/>
            <w:noWrap w:val="0"/>
            <w:vAlign w:val="center"/>
          </w:tcPr>
          <w:p>
            <w:pPr>
              <w:keepNext w:val="0"/>
              <w:keepLines w:val="0"/>
              <w:widowControl/>
              <w:suppressLineNumbers w:val="0"/>
              <w:jc w:val="center"/>
              <w:textAlignment w:val="center"/>
              <w:rPr>
                <w:rFonts w:hint="default" w:ascii="宋体" w:hAnsi="宋体" w:eastAsia="宋体" w:cs="宋体"/>
                <w:kern w:val="0"/>
                <w:sz w:val="18"/>
                <w:szCs w:val="18"/>
                <w:lang w:val="en-US" w:eastAsia="zh-CN"/>
              </w:rPr>
            </w:pPr>
            <w:r>
              <w:rPr>
                <w:rFonts w:hint="eastAsia" w:ascii="宋体" w:hAnsi="宋体" w:eastAsia="宋体" w:cs="宋体"/>
                <w:i w:val="0"/>
                <w:iCs w:val="0"/>
                <w:color w:val="000000"/>
                <w:kern w:val="0"/>
                <w:sz w:val="20"/>
                <w:szCs w:val="20"/>
                <w:u w:val="none"/>
                <w:lang w:val="en-US" w:eastAsia="zh-CN" w:bidi="ar"/>
              </w:rPr>
              <w:t>菏泽市兴农百盛农资有限公司</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48,930,000.00</w:t>
            </w:r>
          </w:p>
        </w:tc>
        <w:tc>
          <w:tcPr>
            <w:tcW w:w="16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51,371,947.95</w:t>
            </w: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5,000.00</w:t>
            </w:r>
          </w:p>
        </w:tc>
        <w:tc>
          <w:tcPr>
            <w:tcW w:w="1550" w:type="dxa"/>
            <w:noWrap w:val="0"/>
            <w:vAlign w:val="center"/>
          </w:tcPr>
          <w:p>
            <w:pPr>
              <w:keepNext w:val="0"/>
              <w:keepLines w:val="0"/>
              <w:widowControl/>
              <w:suppressLineNumbers w:val="0"/>
              <w:jc w:val="center"/>
              <w:textAlignment w:val="center"/>
              <w:rPr>
                <w:rFonts w:hint="eastAsia" w:ascii="宋体" w:hAnsi="宋体" w:eastAsia="宋体" w:cs="宋体"/>
                <w:kern w:val="0"/>
                <w:sz w:val="18"/>
                <w:szCs w:val="18"/>
                <w:lang w:eastAsia="zh-CN"/>
              </w:rPr>
            </w:pPr>
            <w:r>
              <w:rPr>
                <w:rFonts w:hint="eastAsia" w:ascii="宋体" w:hAnsi="宋体" w:eastAsia="宋体" w:cs="宋体"/>
                <w:i w:val="0"/>
                <w:iCs w:val="0"/>
                <w:color w:val="000000"/>
                <w:kern w:val="0"/>
                <w:sz w:val="18"/>
                <w:szCs w:val="18"/>
                <w:u w:val="none"/>
                <w:lang w:val="en-US" w:eastAsia="zh-CN" w:bidi="ar"/>
              </w:rPr>
              <w:t>王瑞英、刘长进</w:t>
            </w:r>
          </w:p>
        </w:tc>
        <w:tc>
          <w:tcPr>
            <w:tcW w:w="18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1.王瑞英名下位于菏泽市长江路以北、和平路以西、丹阳派出所以东的</w:t>
            </w:r>
            <w:r>
              <w:rPr>
                <w:rFonts w:hint="eastAsia" w:ascii="宋体" w:hAnsi="宋体" w:cs="宋体"/>
                <w:i w:val="0"/>
                <w:iCs w:val="0"/>
                <w:color w:val="000000"/>
                <w:kern w:val="0"/>
                <w:sz w:val="18"/>
                <w:szCs w:val="18"/>
                <w:u w:val="none"/>
                <w:lang w:val="en-US" w:eastAsia="zh-CN" w:bidi="ar"/>
              </w:rPr>
              <w:t>商业土地</w:t>
            </w:r>
            <w:r>
              <w:rPr>
                <w:rFonts w:hint="eastAsia" w:ascii="宋体" w:hAnsi="宋体" w:eastAsia="宋体" w:cs="宋体"/>
                <w:i w:val="0"/>
                <w:iCs w:val="0"/>
                <w:color w:val="000000"/>
                <w:kern w:val="0"/>
                <w:sz w:val="18"/>
                <w:szCs w:val="18"/>
                <w:u w:val="none"/>
                <w:lang w:val="en-US" w:eastAsia="zh-CN" w:bidi="ar"/>
              </w:rPr>
              <w:t>及地上建筑物，土地面积3355平方米，地上建筑面积为11467.48平方米。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w:t>
            </w:r>
            <w:r>
              <w:rPr>
                <w:rFonts w:hint="eastAsia" w:ascii="宋体" w:hAnsi="宋体" w:cs="宋体"/>
                <w:i w:val="0"/>
                <w:iCs w:val="0"/>
                <w:color w:val="000000"/>
                <w:kern w:val="0"/>
                <w:sz w:val="18"/>
                <w:szCs w:val="18"/>
                <w:u w:val="none"/>
                <w:lang w:val="en-US" w:eastAsia="zh-CN" w:bidi="ar"/>
              </w:rPr>
              <w:t>个人住宅，</w:t>
            </w:r>
            <w:r>
              <w:rPr>
                <w:rFonts w:hint="eastAsia" w:ascii="宋体" w:hAnsi="宋体" w:eastAsia="宋体" w:cs="宋体"/>
                <w:i w:val="0"/>
                <w:iCs w:val="0"/>
                <w:color w:val="000000"/>
                <w:kern w:val="0"/>
                <w:sz w:val="18"/>
                <w:szCs w:val="18"/>
                <w:u w:val="none"/>
                <w:lang w:val="en-US" w:eastAsia="zh-CN" w:bidi="ar"/>
              </w:rPr>
              <w:t>刘长进名下位于菏泽市道碑街与双井街交叉口东南侧新奥嘉园303室，面积135平方米。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600" w:type="dxa"/>
            <w:noWrap w:val="0"/>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2</w:t>
            </w:r>
          </w:p>
        </w:tc>
        <w:tc>
          <w:tcPr>
            <w:tcW w:w="1250" w:type="dxa"/>
            <w:noWrap w:val="0"/>
            <w:vAlign w:val="center"/>
          </w:tcPr>
          <w:p>
            <w:pPr>
              <w:keepNext w:val="0"/>
              <w:keepLines w:val="0"/>
              <w:widowControl/>
              <w:suppressLineNumbers w:val="0"/>
              <w:jc w:val="center"/>
              <w:textAlignment w:val="center"/>
              <w:rPr>
                <w:rFonts w:hint="default" w:ascii="宋体" w:hAnsi="宋体" w:eastAsia="宋体" w:cs="宋体"/>
                <w:kern w:val="0"/>
                <w:sz w:val="18"/>
                <w:szCs w:val="18"/>
                <w:lang w:val="en-US" w:eastAsia="zh-CN"/>
              </w:rPr>
            </w:pPr>
            <w:r>
              <w:rPr>
                <w:rFonts w:hint="eastAsia" w:ascii="宋体" w:hAnsi="宋体" w:eastAsia="宋体" w:cs="宋体"/>
                <w:i w:val="0"/>
                <w:iCs w:val="0"/>
                <w:color w:val="000000"/>
                <w:kern w:val="0"/>
                <w:sz w:val="20"/>
                <w:szCs w:val="20"/>
                <w:u w:val="none"/>
                <w:lang w:val="en-US" w:eastAsia="zh-CN" w:bidi="ar"/>
              </w:rPr>
              <w:t>山东曹州老窖酒业有限公司</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869,899.70</w:t>
            </w:r>
          </w:p>
        </w:tc>
        <w:tc>
          <w:tcPr>
            <w:tcW w:w="16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7,871,840.93</w:t>
            </w: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51,807.00</w:t>
            </w:r>
          </w:p>
        </w:tc>
        <w:tc>
          <w:tcPr>
            <w:tcW w:w="1550" w:type="dxa"/>
            <w:noWrap w:val="0"/>
            <w:vAlign w:val="center"/>
          </w:tcPr>
          <w:p>
            <w:pPr>
              <w:keepNext w:val="0"/>
              <w:keepLines w:val="0"/>
              <w:widowControl/>
              <w:suppressLineNumbers w:val="0"/>
              <w:jc w:val="center"/>
              <w:textAlignment w:val="center"/>
              <w:rPr>
                <w:rFonts w:hint="eastAsia" w:ascii="宋体" w:hAnsi="宋体" w:eastAsia="宋体" w:cs="宋体"/>
                <w:kern w:val="0"/>
                <w:sz w:val="18"/>
                <w:szCs w:val="18"/>
                <w:lang w:eastAsia="zh-CN"/>
              </w:rPr>
            </w:pPr>
            <w:r>
              <w:rPr>
                <w:rFonts w:hint="eastAsia" w:ascii="宋体" w:hAnsi="宋体" w:eastAsia="宋体" w:cs="宋体"/>
                <w:i w:val="0"/>
                <w:iCs w:val="0"/>
                <w:color w:val="000000"/>
                <w:kern w:val="0"/>
                <w:sz w:val="18"/>
                <w:szCs w:val="18"/>
                <w:u w:val="none"/>
                <w:lang w:val="en-US" w:eastAsia="zh-CN" w:bidi="ar"/>
              </w:rPr>
              <w:t>菏泽兴业建筑设备有限公司、高慧青</w:t>
            </w:r>
          </w:p>
        </w:tc>
        <w:tc>
          <w:tcPr>
            <w:tcW w:w="1880" w:type="dxa"/>
            <w:noWrap w:val="0"/>
            <w:vAlign w:val="center"/>
          </w:tcPr>
          <w:p>
            <w:pPr>
              <w:widowControl/>
              <w:jc w:val="center"/>
              <w:rPr>
                <w:rFonts w:hint="eastAsia"/>
                <w:lang w:val="en-US" w:eastAsia="zh-CN"/>
              </w:rPr>
            </w:pPr>
            <w:r>
              <w:rPr>
                <w:rFonts w:hint="eastAsia"/>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600" w:type="dxa"/>
            <w:noWrap w:val="0"/>
            <w:vAlign w:val="center"/>
          </w:tcPr>
          <w:p>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1250" w:type="dxa"/>
            <w:noWrap w:val="0"/>
            <w:vAlign w:val="center"/>
          </w:tcPr>
          <w:p>
            <w:pPr>
              <w:keepNext w:val="0"/>
              <w:keepLines w:val="0"/>
              <w:widowControl/>
              <w:suppressLineNumbers w:val="0"/>
              <w:jc w:val="center"/>
              <w:textAlignment w:val="center"/>
              <w:rPr>
                <w:rFonts w:hint="default" w:ascii="宋体" w:hAnsi="宋体" w:eastAsia="宋体" w:cs="宋体"/>
                <w:kern w:val="0"/>
                <w:sz w:val="18"/>
                <w:szCs w:val="18"/>
                <w:lang w:val="en-US" w:eastAsia="zh-CN"/>
              </w:rPr>
            </w:pPr>
            <w:r>
              <w:rPr>
                <w:rFonts w:hint="eastAsia" w:ascii="宋体" w:hAnsi="宋体" w:eastAsia="宋体" w:cs="宋体"/>
                <w:i w:val="0"/>
                <w:iCs w:val="0"/>
                <w:color w:val="000000"/>
                <w:kern w:val="0"/>
                <w:sz w:val="20"/>
                <w:szCs w:val="20"/>
                <w:u w:val="none"/>
                <w:lang w:val="en-US" w:eastAsia="zh-CN" w:bidi="ar"/>
              </w:rPr>
              <w:t>菏泽市思香食品有限公司</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2,913,004.00</w:t>
            </w:r>
          </w:p>
        </w:tc>
        <w:tc>
          <w:tcPr>
            <w:tcW w:w="16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4,382,984.33</w:t>
            </w:r>
          </w:p>
        </w:tc>
        <w:tc>
          <w:tcPr>
            <w:tcW w:w="1170"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550" w:type="dxa"/>
            <w:noWrap w:val="0"/>
            <w:vAlign w:val="center"/>
          </w:tcPr>
          <w:p>
            <w:pPr>
              <w:keepNext w:val="0"/>
              <w:keepLines w:val="0"/>
              <w:widowControl/>
              <w:suppressLineNumbers w:val="0"/>
              <w:jc w:val="center"/>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20"/>
                <w:szCs w:val="20"/>
                <w:u w:val="none"/>
                <w:lang w:val="en-US" w:eastAsia="zh-CN" w:bidi="ar"/>
              </w:rPr>
              <w:t>菏泽市华强艳霞食品有限公司、王文革、马梅香、丁艳霞、武子强。</w:t>
            </w:r>
          </w:p>
        </w:tc>
        <w:tc>
          <w:tcPr>
            <w:tcW w:w="1880" w:type="dxa"/>
            <w:noWrap w:val="0"/>
            <w:vAlign w:val="center"/>
          </w:tcPr>
          <w:p>
            <w:pPr>
              <w:widowControl/>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600" w:type="dxa"/>
            <w:noWrap w:val="0"/>
            <w:vAlign w:val="center"/>
          </w:tcPr>
          <w:p>
            <w:pPr>
              <w:widowControl/>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4</w:t>
            </w:r>
          </w:p>
        </w:tc>
        <w:tc>
          <w:tcPr>
            <w:tcW w:w="12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菏泽市红园农业生产资料有限公司</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2,764,499.16</w:t>
            </w:r>
          </w:p>
        </w:tc>
        <w:tc>
          <w:tcPr>
            <w:tcW w:w="16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6,713,307.62</w:t>
            </w: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550" w:type="dxa"/>
            <w:noWrap w:val="0"/>
            <w:vAlign w:val="center"/>
          </w:tcPr>
          <w:p>
            <w:pPr>
              <w:keepNext w:val="0"/>
              <w:keepLines w:val="0"/>
              <w:widowControl/>
              <w:suppressLineNumbers w:val="0"/>
              <w:jc w:val="center"/>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20"/>
                <w:szCs w:val="20"/>
                <w:u w:val="none"/>
                <w:lang w:val="en-US" w:eastAsia="zh-CN" w:bidi="ar"/>
              </w:rPr>
              <w:t>菏泽开发区富田农资有限公司、王胜利、穆福强、王宗建、谢治平、林超男、菏泽雪丰农资有限公司、陈永华、刘雪娥</w:t>
            </w:r>
          </w:p>
        </w:tc>
        <w:tc>
          <w:tcPr>
            <w:tcW w:w="1880" w:type="dxa"/>
            <w:noWrap w:val="0"/>
            <w:vAlign w:val="center"/>
          </w:tcPr>
          <w:p>
            <w:pPr>
              <w:widowControl/>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600" w:type="dxa"/>
            <w:noWrap w:val="0"/>
            <w:vAlign w:val="center"/>
          </w:tcPr>
          <w:p>
            <w:pPr>
              <w:widowControl/>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5</w:t>
            </w:r>
          </w:p>
        </w:tc>
        <w:tc>
          <w:tcPr>
            <w:tcW w:w="12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山东瑞特精细化工有限公司</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74,731,032.93</w:t>
            </w:r>
          </w:p>
        </w:tc>
        <w:tc>
          <w:tcPr>
            <w:tcW w:w="16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8,310,222.32</w:t>
            </w: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550" w:type="dxa"/>
            <w:noWrap w:val="0"/>
            <w:vAlign w:val="center"/>
          </w:tcPr>
          <w:p>
            <w:pPr>
              <w:keepNext w:val="0"/>
              <w:keepLines w:val="0"/>
              <w:widowControl/>
              <w:suppressLineNumbers w:val="0"/>
              <w:jc w:val="left"/>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20"/>
                <w:szCs w:val="20"/>
                <w:u w:val="none"/>
                <w:lang w:val="en-US" w:eastAsia="zh-CN" w:bidi="ar"/>
              </w:rPr>
              <w:t>山东万通模具有限公司、山东维尔斯化工有限公司、延军</w:t>
            </w:r>
          </w:p>
        </w:tc>
        <w:tc>
          <w:tcPr>
            <w:tcW w:w="1880" w:type="dxa"/>
            <w:noWrap w:val="0"/>
            <w:vAlign w:val="center"/>
          </w:tcPr>
          <w:p>
            <w:pPr>
              <w:widowControl/>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600" w:type="dxa"/>
            <w:noWrap w:val="0"/>
            <w:vAlign w:val="center"/>
          </w:tcPr>
          <w:p>
            <w:pPr>
              <w:widowControl/>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6</w:t>
            </w:r>
          </w:p>
        </w:tc>
        <w:tc>
          <w:tcPr>
            <w:tcW w:w="125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20"/>
                <w:szCs w:val="20"/>
                <w:u w:val="none"/>
                <w:lang w:val="en-US" w:eastAsia="zh-CN" w:bidi="ar"/>
              </w:rPr>
              <w:t>山东华义玉米科技有限公司</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49,936,950.00</w:t>
            </w:r>
          </w:p>
        </w:tc>
        <w:tc>
          <w:tcPr>
            <w:tcW w:w="16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39,796,807.76</w:t>
            </w: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0.00</w:t>
            </w:r>
          </w:p>
        </w:tc>
        <w:tc>
          <w:tcPr>
            <w:tcW w:w="1550" w:type="dxa"/>
            <w:noWrap w:val="0"/>
            <w:vAlign w:val="center"/>
          </w:tcPr>
          <w:p>
            <w:pPr>
              <w:keepNext w:val="0"/>
              <w:keepLines w:val="0"/>
              <w:widowControl/>
              <w:suppressLineNumbers w:val="0"/>
              <w:jc w:val="left"/>
              <w:textAlignment w:val="center"/>
              <w:rPr>
                <w:rFonts w:hint="eastAsia" w:ascii="宋体" w:hAnsi="宋体" w:eastAsia="宋体" w:cs="宋体"/>
                <w:kern w:val="0"/>
                <w:sz w:val="18"/>
                <w:szCs w:val="18"/>
              </w:rPr>
            </w:pPr>
            <w:r>
              <w:rPr>
                <w:rFonts w:hint="eastAsia" w:ascii="宋体" w:hAnsi="宋体" w:eastAsia="宋体" w:cs="宋体"/>
                <w:i w:val="0"/>
                <w:iCs w:val="0"/>
                <w:color w:val="000000"/>
                <w:kern w:val="0"/>
                <w:sz w:val="20"/>
                <w:szCs w:val="20"/>
                <w:u w:val="none"/>
                <w:lang w:val="en-US" w:eastAsia="zh-CN" w:bidi="ar"/>
              </w:rPr>
              <w:t>邹平德利科技板材有限公司、邹平昌桥供热有限公司、邹平县鲁扬炭素有限责任公司、张传义、伏滨</w:t>
            </w:r>
          </w:p>
        </w:tc>
        <w:tc>
          <w:tcPr>
            <w:tcW w:w="1880" w:type="dxa"/>
            <w:noWrap w:val="0"/>
            <w:vAlign w:val="center"/>
          </w:tcPr>
          <w:p>
            <w:pPr>
              <w:widowControl/>
              <w:jc w:val="center"/>
              <w:rPr>
                <w:rFonts w:hint="default" w:ascii="宋体" w:hAnsi="宋体" w:eastAsia="宋体" w:cs="宋体"/>
                <w:kern w:val="0"/>
                <w:sz w:val="18"/>
                <w:szCs w:val="18"/>
                <w:lang w:val="en-US" w:eastAsia="zh-CN"/>
              </w:rPr>
            </w:pPr>
            <w:r>
              <w:rPr>
                <w:rFonts w:hint="eastAsia" w:ascii="宋体" w:hAnsi="宋体" w:cs="宋体"/>
                <w:kern w:val="0"/>
                <w:sz w:val="18"/>
                <w:szCs w:val="18"/>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600" w:type="dxa"/>
            <w:noWrap w:val="0"/>
            <w:vAlign w:val="center"/>
          </w:tcPr>
          <w:p>
            <w:pPr>
              <w:widowControl/>
              <w:jc w:val="center"/>
              <w:rPr>
                <w:rFonts w:hint="eastAsia" w:ascii="宋体" w:hAnsi="宋体" w:eastAsia="宋体" w:cs="宋体"/>
                <w:kern w:val="0"/>
                <w:sz w:val="18"/>
                <w:szCs w:val="18"/>
              </w:rPr>
            </w:pPr>
          </w:p>
        </w:tc>
        <w:tc>
          <w:tcPr>
            <w:tcW w:w="1250" w:type="dxa"/>
            <w:noWrap w:val="0"/>
            <w:vAlign w:val="center"/>
          </w:tcPr>
          <w:p>
            <w:pPr>
              <w:widowControl/>
              <w:jc w:val="center"/>
              <w:rPr>
                <w:rFonts w:hint="eastAsia" w:ascii="宋体" w:hAnsi="宋体" w:eastAsia="宋体" w:cs="宋体"/>
                <w:b/>
                <w:kern w:val="0"/>
                <w:sz w:val="18"/>
                <w:szCs w:val="18"/>
              </w:rPr>
            </w:pPr>
            <w:r>
              <w:rPr>
                <w:rFonts w:hint="eastAsia" w:ascii="宋体" w:hAnsi="宋体" w:eastAsia="宋体" w:cs="宋体"/>
                <w:b/>
                <w:kern w:val="0"/>
                <w:sz w:val="18"/>
                <w:szCs w:val="18"/>
              </w:rPr>
              <w:t>合计</w:t>
            </w:r>
          </w:p>
        </w:tc>
        <w:tc>
          <w:tcPr>
            <w:tcW w:w="16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180,145,385.79</w:t>
            </w:r>
          </w:p>
        </w:tc>
        <w:tc>
          <w:tcPr>
            <w:tcW w:w="163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118,447,110.90</w:t>
            </w:r>
          </w:p>
        </w:tc>
        <w:tc>
          <w:tcPr>
            <w:tcW w:w="117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56,807.00</w:t>
            </w:r>
          </w:p>
        </w:tc>
        <w:tc>
          <w:tcPr>
            <w:tcW w:w="1550" w:type="dxa"/>
            <w:noWrap w:val="0"/>
            <w:vAlign w:val="center"/>
          </w:tcPr>
          <w:p>
            <w:pPr>
              <w:widowControl/>
              <w:jc w:val="center"/>
              <w:rPr>
                <w:rFonts w:hint="eastAsia" w:ascii="宋体" w:hAnsi="宋体" w:eastAsia="宋体" w:cs="宋体"/>
                <w:b/>
                <w:kern w:val="0"/>
                <w:sz w:val="18"/>
                <w:szCs w:val="18"/>
              </w:rPr>
            </w:pPr>
          </w:p>
        </w:tc>
        <w:tc>
          <w:tcPr>
            <w:tcW w:w="1880" w:type="dxa"/>
            <w:noWrap w:val="0"/>
            <w:vAlign w:val="center"/>
          </w:tcPr>
          <w:p>
            <w:pPr>
              <w:widowControl/>
              <w:jc w:val="center"/>
              <w:rPr>
                <w:rFonts w:hint="eastAsia" w:ascii="宋体" w:hAnsi="宋体" w:eastAsia="宋体" w:cs="宋体"/>
                <w:b/>
                <w:kern w:val="0"/>
                <w:sz w:val="18"/>
                <w:szCs w:val="18"/>
              </w:rPr>
            </w:pPr>
          </w:p>
        </w:tc>
      </w:tr>
    </w:tbl>
    <w:p>
      <w:pPr>
        <w:widowControl/>
        <w:spacing w:line="360" w:lineRule="auto"/>
        <w:ind w:firstLine="480" w:firstLineChars="200"/>
        <w:jc w:val="both"/>
        <w:rPr>
          <w:rFonts w:hint="eastAsia" w:ascii="宋体" w:hAnsi="宋体" w:eastAsia="宋体" w:cs="宋体"/>
          <w:kern w:val="0"/>
          <w:sz w:val="24"/>
          <w:szCs w:val="24"/>
          <w:highlight w:val="none"/>
          <w:lang w:eastAsia="zh-CN"/>
        </w:rPr>
      </w:pPr>
      <w:r>
        <w:rPr>
          <w:rFonts w:hint="eastAsia" w:ascii="宋体" w:hAnsi="宋体" w:cs="宋体"/>
          <w:kern w:val="0"/>
          <w:sz w:val="24"/>
          <w:szCs w:val="24"/>
          <w:highlight w:val="none"/>
        </w:rPr>
        <w:t>注：1</w:t>
      </w:r>
      <w:r>
        <w:rPr>
          <w:rFonts w:hint="eastAsia" w:ascii="宋体" w:hAnsi="宋体" w:cs="宋体"/>
          <w:kern w:val="0"/>
          <w:sz w:val="24"/>
          <w:szCs w:val="24"/>
          <w:highlight w:val="none"/>
          <w:lang w:val="en-US" w:eastAsia="zh-CN"/>
        </w:rPr>
        <w:t>.</w:t>
      </w:r>
      <w:r>
        <w:rPr>
          <w:rFonts w:hint="eastAsia" w:ascii="宋体" w:hAnsi="宋体" w:cs="宋体"/>
          <w:kern w:val="0"/>
          <w:sz w:val="24"/>
          <w:szCs w:val="24"/>
          <w:highlight w:val="none"/>
        </w:rPr>
        <w:t>本公告清单仅列示截至基准日的债权本金、利息</w:t>
      </w:r>
      <w:r>
        <w:rPr>
          <w:rFonts w:hint="eastAsia" w:ascii="宋体" w:hAnsi="宋体" w:cs="宋体"/>
          <w:kern w:val="0"/>
          <w:sz w:val="24"/>
          <w:szCs w:val="24"/>
          <w:highlight w:val="none"/>
          <w:lang w:val="en-US" w:eastAsia="zh-CN"/>
        </w:rPr>
        <w:t>及</w:t>
      </w:r>
      <w:r>
        <w:rPr>
          <w:rFonts w:hint="eastAsia" w:ascii="宋体" w:hAnsi="宋体" w:cs="宋体"/>
          <w:kern w:val="0"/>
          <w:sz w:val="24"/>
          <w:szCs w:val="24"/>
          <w:highlight w:val="none"/>
        </w:rPr>
        <w:t>其他债权</w:t>
      </w:r>
      <w:r>
        <w:rPr>
          <w:rFonts w:hint="eastAsia" w:ascii="宋体" w:hAnsi="宋体" w:cs="宋体"/>
          <w:kern w:val="0"/>
          <w:sz w:val="24"/>
          <w:szCs w:val="24"/>
          <w:highlight w:val="none"/>
          <w:lang w:val="en-US" w:eastAsia="zh-CN"/>
        </w:rPr>
        <w:t>余额</w:t>
      </w:r>
      <w:r>
        <w:rPr>
          <w:rFonts w:hint="eastAsia" w:ascii="宋体" w:hAnsi="宋体" w:cs="宋体"/>
          <w:kern w:val="0"/>
          <w:sz w:val="24"/>
          <w:szCs w:val="24"/>
          <w:highlight w:val="none"/>
        </w:rPr>
        <w:t>，基准日后债务人和担保人应支付的利息、违约金、相关费用等按照相关合同协议、生效法律文书及法律法规的规定计算。</w:t>
      </w:r>
    </w:p>
    <w:p>
      <w:pPr>
        <w:widowControl/>
        <w:spacing w:line="360" w:lineRule="auto"/>
        <w:ind w:firstLine="481"/>
        <w:jc w:val="both"/>
        <w:rPr>
          <w:rFonts w:hint="eastAsia" w:ascii="宋体" w:hAnsi="宋体" w:cs="宋体"/>
          <w:kern w:val="0"/>
          <w:sz w:val="24"/>
          <w:szCs w:val="24"/>
          <w:highlight w:val="none"/>
          <w:lang w:val="en-US" w:eastAsia="zh-CN"/>
        </w:rPr>
      </w:pPr>
      <w:r>
        <w:rPr>
          <w:rFonts w:hint="eastAsia" w:ascii="宋体" w:hAnsi="宋体" w:cs="宋体"/>
          <w:kern w:val="0"/>
          <w:sz w:val="24"/>
          <w:szCs w:val="24"/>
          <w:highlight w:val="none"/>
          <w:lang w:val="en-US" w:eastAsia="zh-CN"/>
        </w:rPr>
        <w:t>2.若债务人、担保人因各种原因更名、改制、歇业、吊销营业执照或丧失民事主体资格的，请相关承债主体及/或主管部门代为履行义务或履行清算责任。若本清单中担保人名单出现遗漏、笔误的，并不意味着中国中信金融资产管理股份有限公司山东省分公司对其担保责任的免除，担保人仍须按合同约定及法律规定履行担保责任。</w:t>
      </w:r>
    </w:p>
    <w:p>
      <w:pPr>
        <w:widowControl/>
        <w:spacing w:line="360" w:lineRule="auto"/>
        <w:ind w:firstLine="481"/>
        <w:jc w:val="both"/>
        <w:rPr>
          <w:rFonts w:hint="eastAsia" w:ascii="宋体" w:hAnsi="宋体" w:cs="宋体"/>
          <w:kern w:val="0"/>
          <w:sz w:val="24"/>
          <w:szCs w:val="24"/>
          <w:highlight w:val="none"/>
          <w:lang w:val="en-US" w:eastAsia="zh-CN"/>
        </w:rPr>
      </w:pPr>
      <w:r>
        <w:rPr>
          <w:rFonts w:hint="eastAsia" w:ascii="宋体" w:hAnsi="宋体" w:cs="宋体"/>
          <w:kern w:val="0"/>
          <w:sz w:val="24"/>
          <w:szCs w:val="24"/>
          <w:highlight w:val="none"/>
          <w:lang w:val="en-US" w:eastAsia="zh-CN"/>
        </w:rPr>
        <w:t>3.清单中的“担保人”包括保证人、抵押人、出质人。</w:t>
      </w:r>
    </w:p>
    <w:p>
      <w:pPr>
        <w:widowControl/>
        <w:spacing w:line="360" w:lineRule="auto"/>
        <w:ind w:firstLine="481"/>
        <w:jc w:val="both"/>
      </w:pPr>
      <w:r>
        <w:rPr>
          <w:rFonts w:hint="eastAsia" w:ascii="宋体" w:hAnsi="宋体" w:cs="宋体"/>
          <w:kern w:val="0"/>
          <w:sz w:val="24"/>
          <w:szCs w:val="24"/>
          <w:highlight w:val="none"/>
          <w:lang w:val="en-US" w:eastAsia="zh-CN"/>
        </w:rPr>
        <w:t>4.如清单中债务人、债权金额、担保人等信息与事实不符的，以相关合同、生效法律文书等为准</w:t>
      </w:r>
      <w:r>
        <w:rPr>
          <w:rFonts w:hint="eastAsia" w:ascii="宋体" w:hAnsi="宋体" w:cs="宋体"/>
          <w:kern w:val="0"/>
          <w:sz w:val="24"/>
          <w:szCs w:val="24"/>
          <w:highlight w:val="none"/>
        </w:rPr>
        <w: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AB7F28"/>
    <w:rsid w:val="092F7DA0"/>
    <w:rsid w:val="1AB5051A"/>
    <w:rsid w:val="370B78C3"/>
    <w:rsid w:val="3C237FF0"/>
    <w:rsid w:val="428D00BE"/>
    <w:rsid w:val="4A6D7538"/>
    <w:rsid w:val="4C692208"/>
    <w:rsid w:val="4C8F0EE5"/>
    <w:rsid w:val="4EB969C3"/>
    <w:rsid w:val="61E94C9D"/>
    <w:rsid w:val="712B0D4F"/>
    <w:rsid w:val="78E55DEC"/>
    <w:rsid w:val="7B217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2024-06-13T03:06:00Z</dcterms:created>
  <dc:creator>leihou</dc:creator>
  <cp:lastModifiedBy>furanran</cp:lastModifiedBy>
  <dcterms:modified xsi:type="dcterms:W3CDTF">2025-10-29T03:17:03Z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C62563BC6FA44223833E7A503C88479F</vt:lpwstr>
  </property>
</Properties>
</file>