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聊城鲁西甲酸化工有限公司所属的一酸塔设备、聊城鲁西甲胺化工有限公司所属47台报废设备、聊城鲁西氯甲烷化工有限公司所属525台报废设备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4"/>
          <w:rFonts w:cs="宋体" w:asciiTheme="minorEastAsia" w:hAnsiTheme="minorEastAsia"/>
          <w:color w:val="auto"/>
          <w:kern w:val="0"/>
          <w:szCs w:val="21"/>
          <w:highlight w:val="none"/>
        </w:rPr>
        <w:t>www.sdcqjy.com</w:t>
      </w:r>
      <w:r>
        <w:rPr>
          <w:rStyle w:val="14"/>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w:t>
      </w:r>
      <w:bookmarkStart w:id="0" w:name="_GoBack"/>
      <w:bookmarkEnd w:id="0"/>
      <w:r>
        <w:rPr>
          <w:rFonts w:hint="eastAsia" w:cs="宋体" w:asciiTheme="minorEastAsia" w:hAnsiTheme="minorEastAsia"/>
          <w:color w:val="auto"/>
          <w:kern w:val="0"/>
          <w:szCs w:val="21"/>
          <w:highlight w:val="none"/>
        </w:rPr>
        <w:t>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pPr>
              <w:pStyle w:val="2"/>
              <w:rPr>
                <w:rFonts w:hint="eastAsia"/>
                <w:vertAlign w:val="baseline"/>
                <w:lang w:eastAsia="zh-CN"/>
              </w:rPr>
            </w:pPr>
            <w:r>
              <w:rPr>
                <w:rFonts w:hint="eastAsia"/>
                <w:vertAlign w:val="baseline"/>
                <w:lang w:val="en-US" w:eastAsia="zh-CN"/>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pPr>
              <w:pStyle w:val="2"/>
              <w:rPr>
                <w:rFonts w:hint="default"/>
                <w:vertAlign w:val="baseline"/>
                <w:lang w:val="en-US" w:eastAsia="zh-CN"/>
              </w:rPr>
            </w:pPr>
            <w:r>
              <w:rPr>
                <w:rFonts w:hint="eastAsia"/>
                <w:vertAlign w:val="baseline"/>
                <w:lang w:val="en-US" w:eastAsia="zh-CN"/>
              </w:rPr>
              <w:t>10000以下（含）</w:t>
            </w:r>
          </w:p>
        </w:tc>
        <w:tc>
          <w:tcPr>
            <w:tcW w:w="2016" w:type="dxa"/>
          </w:tcPr>
          <w:p>
            <w:pPr>
              <w:pStyle w:val="2"/>
              <w:rPr>
                <w:rFonts w:hint="default"/>
                <w:vertAlign w:val="baseline"/>
                <w:lang w:val="en-US" w:eastAsia="zh-CN"/>
              </w:rPr>
            </w:pPr>
            <w:r>
              <w:rPr>
                <w:rFonts w:hint="eastAsia"/>
                <w:vertAlign w:val="baseli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tcPr>
          <w:p>
            <w:pPr>
              <w:pStyle w:val="2"/>
              <w:rPr>
                <w:rFonts w:hint="default"/>
                <w:vertAlign w:val="baseline"/>
                <w:lang w:val="en-US" w:eastAsia="zh-CN"/>
              </w:rPr>
            </w:pPr>
            <w:r>
              <w:rPr>
                <w:rFonts w:hint="eastAsia"/>
                <w:vertAlign w:val="baseline"/>
                <w:lang w:val="en-US" w:eastAsia="zh-CN"/>
              </w:rPr>
              <w:t>10000—50000（含）</w:t>
            </w:r>
          </w:p>
        </w:tc>
        <w:tc>
          <w:tcPr>
            <w:tcW w:w="2016" w:type="dxa"/>
          </w:tcPr>
          <w:p>
            <w:pPr>
              <w:pStyle w:val="2"/>
              <w:rPr>
                <w:rFonts w:hint="default"/>
                <w:vertAlign w:val="baseline"/>
                <w:lang w:val="en-US" w:eastAsia="zh-CN"/>
              </w:rPr>
            </w:pPr>
            <w:r>
              <w:rPr>
                <w:rFonts w:hint="eastAsia"/>
                <w:vertAlign w:val="baseline"/>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tcPr>
          <w:p>
            <w:pPr>
              <w:pStyle w:val="2"/>
              <w:rPr>
                <w:rFonts w:hint="default"/>
                <w:vertAlign w:val="baseline"/>
                <w:lang w:val="en-US" w:eastAsia="zh-CN"/>
              </w:rPr>
            </w:pPr>
            <w:r>
              <w:rPr>
                <w:rFonts w:hint="eastAsia"/>
                <w:vertAlign w:val="baseline"/>
                <w:lang w:val="en-US" w:eastAsia="zh-CN"/>
              </w:rPr>
              <w:t>50000以上</w:t>
            </w:r>
          </w:p>
        </w:tc>
        <w:tc>
          <w:tcPr>
            <w:tcW w:w="2016" w:type="dxa"/>
          </w:tcPr>
          <w:p>
            <w:pPr>
              <w:pStyle w:val="2"/>
              <w:rPr>
                <w:rFonts w:hint="default"/>
                <w:vertAlign w:val="baseline"/>
                <w:lang w:val="en-US" w:eastAsia="zh-CN"/>
              </w:rPr>
            </w:pPr>
            <w:r>
              <w:rPr>
                <w:rFonts w:hint="eastAsia"/>
                <w:vertAlign w:val="baseline"/>
                <w:lang w:val="en-US" w:eastAsia="zh-CN"/>
              </w:rPr>
              <w:t>0.05%</w:t>
            </w:r>
          </w:p>
        </w:tc>
      </w:tr>
    </w:tbl>
    <w:p>
      <w:pPr>
        <w:pStyle w:val="2"/>
        <w:rPr>
          <w:rFonts w:hint="eastAsia"/>
          <w:lang w:eastAsia="zh-CN"/>
        </w:rPr>
      </w:pPr>
    </w:p>
    <w:p>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pPr>
              <w:pStyle w:val="2"/>
              <w:rPr>
                <w:rFonts w:hint="eastAsia"/>
                <w:vertAlign w:val="baseline"/>
                <w:lang w:eastAsia="zh-CN"/>
              </w:rPr>
            </w:pPr>
            <w:r>
              <w:rPr>
                <w:rFonts w:hint="eastAsia"/>
                <w:vertAlign w:val="baseline"/>
                <w:lang w:val="en-US" w:eastAsia="zh-CN"/>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pPr>
              <w:pStyle w:val="2"/>
              <w:rPr>
                <w:rFonts w:hint="eastAsia"/>
                <w:vertAlign w:val="baseline"/>
                <w:lang w:eastAsia="zh-CN"/>
              </w:rPr>
            </w:pP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pPr>
              <w:pStyle w:val="2"/>
              <w:rPr>
                <w:rFonts w:hint="eastAsia"/>
                <w:vertAlign w:val="baseline"/>
                <w:lang w:eastAsia="zh-CN"/>
              </w:rPr>
            </w:pPr>
          </w:p>
        </w:tc>
        <w:tc>
          <w:tcPr>
            <w:tcW w:w="252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pPr>
        <w:pStyle w:val="2"/>
        <w:ind w:left="0" w:leftChars="0" w:firstLine="0" w:firstLineChars="0"/>
        <w:rPr>
          <w:rFonts w:hint="default"/>
          <w:lang w:val="en-US" w:eastAsia="zh-CN"/>
        </w:rPr>
      </w:pP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D2B51D5"/>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6"/>
    <w:qFormat/>
    <w:uiPriority w:val="0"/>
    <w:pPr>
      <w:keepNext/>
      <w:keepLines/>
      <w:spacing w:after="120"/>
      <w:outlineLvl w:val="0"/>
    </w:pPr>
    <w:rPr>
      <w:rFonts w:eastAsia="黑体"/>
      <w:b/>
      <w:bCs/>
      <w:kern w:val="44"/>
      <w:szCs w:val="44"/>
    </w:rPr>
  </w:style>
  <w:style w:type="paragraph" w:styleId="4">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2"/>
    <w:unhideWhenUsed/>
    <w:qFormat/>
    <w:uiPriority w:val="99"/>
    <w:rPr>
      <w:b/>
      <w:bCs/>
    </w:rPr>
  </w:style>
  <w:style w:type="table" w:styleId="12">
    <w:name w:val="Table Grid"/>
    <w:basedOn w:val="11"/>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annotation reference"/>
    <w:basedOn w:val="13"/>
    <w:unhideWhenUsed/>
    <w:qFormat/>
    <w:uiPriority w:val="99"/>
    <w:rPr>
      <w:sz w:val="21"/>
      <w:szCs w:val="21"/>
    </w:rPr>
  </w:style>
  <w:style w:type="character" w:customStyle="1" w:styleId="16">
    <w:name w:val="标题 1 Char"/>
    <w:basedOn w:val="13"/>
    <w:link w:val="3"/>
    <w:qFormat/>
    <w:uiPriority w:val="0"/>
    <w:rPr>
      <w:rFonts w:eastAsia="黑体"/>
      <w:b/>
      <w:bCs/>
      <w:kern w:val="44"/>
      <w:sz w:val="32"/>
      <w:szCs w:val="44"/>
    </w:rPr>
  </w:style>
  <w:style w:type="paragraph" w:customStyle="1" w:styleId="17">
    <w:name w:val="小小标题"/>
    <w:basedOn w:val="3"/>
    <w:qFormat/>
    <w:uiPriority w:val="0"/>
    <w:pPr>
      <w:ind w:firstLine="640"/>
    </w:pPr>
    <w:rPr>
      <w:rFonts w:ascii="Times New Roman" w:hAnsi="Times New Roman" w:eastAsia="楷体_GB2312" w:cs="Times New Roman"/>
    </w:rPr>
  </w:style>
  <w:style w:type="character" w:customStyle="1" w:styleId="18">
    <w:name w:val="标题 Char"/>
    <w:basedOn w:val="13"/>
    <w:link w:val="9"/>
    <w:qFormat/>
    <w:uiPriority w:val="0"/>
    <w:rPr>
      <w:rFonts w:eastAsia="方正小标宋简体" w:asciiTheme="majorHAnsi" w:hAnsiTheme="majorHAnsi" w:cstheme="majorBidi"/>
      <w:kern w:val="44"/>
      <w:sz w:val="44"/>
      <w:szCs w:val="32"/>
    </w:rPr>
  </w:style>
  <w:style w:type="character" w:customStyle="1" w:styleId="19">
    <w:name w:val="页眉 Char"/>
    <w:basedOn w:val="13"/>
    <w:link w:val="8"/>
    <w:qFormat/>
    <w:uiPriority w:val="99"/>
    <w:rPr>
      <w:sz w:val="18"/>
      <w:szCs w:val="18"/>
    </w:rPr>
  </w:style>
  <w:style w:type="character" w:customStyle="1" w:styleId="20">
    <w:name w:val="页脚 Char"/>
    <w:basedOn w:val="13"/>
    <w:link w:val="7"/>
    <w:qFormat/>
    <w:uiPriority w:val="99"/>
    <w:rPr>
      <w:sz w:val="18"/>
      <w:szCs w:val="18"/>
    </w:rPr>
  </w:style>
  <w:style w:type="character" w:customStyle="1" w:styleId="21">
    <w:name w:val="批注文字 Char"/>
    <w:basedOn w:val="13"/>
    <w:link w:val="5"/>
    <w:semiHidden/>
    <w:qFormat/>
    <w:uiPriority w:val="99"/>
  </w:style>
  <w:style w:type="character" w:customStyle="1" w:styleId="22">
    <w:name w:val="批注主题 Char"/>
    <w:basedOn w:val="21"/>
    <w:link w:val="10"/>
    <w:semiHidden/>
    <w:qFormat/>
    <w:uiPriority w:val="99"/>
    <w:rPr>
      <w:b/>
      <w:bCs/>
    </w:rPr>
  </w:style>
  <w:style w:type="character" w:customStyle="1" w:styleId="23">
    <w:name w:val="批注框文本 Char"/>
    <w:basedOn w:val="13"/>
    <w:link w:val="6"/>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5</TotalTime>
  <ScaleCrop>false</ScaleCrop>
  <LinksUpToDate>false</LinksUpToDate>
  <CharactersWithSpaces>5127</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2024-08-09T08:53:57Z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883B12DA28EC498B8AA23838BCBCC67D_13</vt:lpwstr>
  </property>
</Properties>
</file>