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宋体" w:hAnsi="宋体" w:cs="宋体"/>
          <w:b/>
          <w:bCs/>
          <w:kern w:val="0"/>
          <w:sz w:val="24"/>
          <w:szCs w:val="24"/>
          <w:highlight w:val="none"/>
        </w:rPr>
      </w:pPr>
      <w:r>
        <w:rPr>
          <w:rFonts w:hint="eastAsia" w:ascii="宋体" w:hAnsi="宋体" w:cs="宋体"/>
          <w:b/>
          <w:bCs/>
          <w:kern w:val="0"/>
          <w:sz w:val="24"/>
          <w:szCs w:val="24"/>
          <w:highlight w:val="none"/>
        </w:rPr>
        <w:t>公告资产清单</w:t>
      </w:r>
    </w:p>
    <w:tbl>
      <w:tblPr>
        <w:tblStyle w:val="3"/>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7"/>
        <w:gridCol w:w="1246"/>
        <w:gridCol w:w="1538"/>
        <w:gridCol w:w="1425"/>
        <w:gridCol w:w="1204"/>
        <w:gridCol w:w="1320"/>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9760" w:type="dxa"/>
            <w:gridSpan w:val="7"/>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基准日：202</w:t>
            </w:r>
            <w:r>
              <w:rPr>
                <w:rFonts w:hint="eastAsia" w:ascii="宋体" w:hAnsi="宋体" w:eastAsia="宋体" w:cs="宋体"/>
                <w:kern w:val="0"/>
                <w:sz w:val="18"/>
                <w:szCs w:val="18"/>
                <w:lang w:val="en-US" w:eastAsia="zh-CN"/>
              </w:rPr>
              <w:t>5</w:t>
            </w:r>
            <w:r>
              <w:rPr>
                <w:rFonts w:hint="eastAsia" w:ascii="宋体" w:hAnsi="宋体" w:eastAsia="宋体" w:cs="宋体"/>
                <w:kern w:val="0"/>
                <w:sz w:val="18"/>
                <w:szCs w:val="18"/>
              </w:rPr>
              <w:t>年</w:t>
            </w:r>
            <w:r>
              <w:rPr>
                <w:rFonts w:hint="eastAsia" w:ascii="宋体" w:hAnsi="宋体" w:cs="宋体"/>
                <w:kern w:val="0"/>
                <w:sz w:val="18"/>
                <w:szCs w:val="18"/>
                <w:lang w:val="en-US" w:eastAsia="zh-CN"/>
              </w:rPr>
              <w:t>8</w:t>
            </w:r>
            <w:r>
              <w:rPr>
                <w:rFonts w:hint="eastAsia" w:ascii="宋体" w:hAnsi="宋体" w:eastAsia="宋体" w:cs="宋体"/>
                <w:kern w:val="0"/>
                <w:sz w:val="18"/>
                <w:szCs w:val="18"/>
              </w:rPr>
              <w:t xml:space="preserve">月20日 </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rPr>
              <w:t xml:space="preserve">      </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rPr>
              <w:t xml:space="preserve">    </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rPr>
              <w:t xml:space="preserve">                                 货币单位：人民币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jc w:val="center"/>
        </w:trPr>
        <w:tc>
          <w:tcPr>
            <w:tcW w:w="667"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序号</w:t>
            </w:r>
          </w:p>
        </w:tc>
        <w:tc>
          <w:tcPr>
            <w:tcW w:w="1246" w:type="dxa"/>
            <w:noWrap w:val="0"/>
            <w:vAlign w:val="center"/>
          </w:tcPr>
          <w:p>
            <w:pPr>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债务人名称</w:t>
            </w:r>
          </w:p>
        </w:tc>
        <w:tc>
          <w:tcPr>
            <w:tcW w:w="1538" w:type="dxa"/>
            <w:noWrap w:val="0"/>
            <w:vAlign w:val="center"/>
          </w:tcPr>
          <w:p>
            <w:pPr>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本金</w:t>
            </w:r>
          </w:p>
        </w:tc>
        <w:tc>
          <w:tcPr>
            <w:tcW w:w="1425"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利息</w:t>
            </w:r>
          </w:p>
        </w:tc>
        <w:tc>
          <w:tcPr>
            <w:tcW w:w="1204"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其他债权</w:t>
            </w:r>
          </w:p>
        </w:tc>
        <w:tc>
          <w:tcPr>
            <w:tcW w:w="1320"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担保人</w:t>
            </w:r>
          </w:p>
        </w:tc>
        <w:tc>
          <w:tcPr>
            <w:tcW w:w="2360" w:type="dxa"/>
            <w:noWrap w:val="0"/>
            <w:vAlign w:val="center"/>
          </w:tcPr>
          <w:p>
            <w:pPr>
              <w:widowControl/>
              <w:jc w:val="center"/>
              <w:rPr>
                <w:rFonts w:hint="eastAsia" w:ascii="宋体" w:hAnsi="宋体" w:eastAsia="宋体" w:cs="宋体"/>
                <w:b/>
                <w:bCs/>
                <w:kern w:val="0"/>
                <w:sz w:val="18"/>
                <w:szCs w:val="18"/>
              </w:rPr>
            </w:pPr>
            <w:r>
              <w:rPr>
                <w:rFonts w:hint="eastAsia" w:ascii="宋体" w:hAnsi="宋体" w:eastAsia="宋体" w:cs="宋体"/>
                <w:b/>
                <w:bCs/>
                <w:kern w:val="0"/>
                <w:sz w:val="18"/>
                <w:szCs w:val="18"/>
              </w:rPr>
              <w:t>担保物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67" w:type="dxa"/>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1</w:t>
            </w:r>
          </w:p>
        </w:tc>
        <w:tc>
          <w:tcPr>
            <w:tcW w:w="1246" w:type="dxa"/>
            <w:noWrap w:val="0"/>
            <w:vAlign w:val="center"/>
          </w:tcPr>
          <w:p>
            <w:pPr>
              <w:widowControl/>
              <w:jc w:val="center"/>
              <w:rPr>
                <w:rFonts w:hint="default" w:ascii="宋体" w:hAnsi="宋体" w:eastAsia="宋体" w:cs="宋体"/>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郓城县金旭房地产开发有限公司</w:t>
            </w:r>
          </w:p>
        </w:tc>
        <w:tc>
          <w:tcPr>
            <w:tcW w:w="1538" w:type="dxa"/>
            <w:noWrap w:val="0"/>
            <w:vAlign w:val="center"/>
          </w:tcPr>
          <w:p>
            <w:pPr>
              <w:keepNext w:val="0"/>
              <w:keepLines w:val="0"/>
              <w:widowControl/>
              <w:suppressLineNumbers w:val="0"/>
              <w:jc w:val="center"/>
              <w:textAlignment w:val="center"/>
              <w:rPr>
                <w:rFonts w:hint="eastAsia" w:ascii="宋体" w:hAnsi="宋体" w:eastAsia="宋体" w:cs="宋体"/>
                <w:color w:val="000000"/>
                <w:sz w:val="18"/>
                <w:szCs w:val="18"/>
              </w:rPr>
            </w:pPr>
            <w:r>
              <w:rPr>
                <w:rFonts w:hint="eastAsia" w:ascii="宋体" w:hAnsi="宋体" w:eastAsia="宋体" w:cs="宋体"/>
                <w:i w:val="0"/>
                <w:iCs w:val="0"/>
                <w:color w:val="000000"/>
                <w:kern w:val="0"/>
                <w:sz w:val="18"/>
                <w:szCs w:val="18"/>
                <w:u w:val="none"/>
                <w:lang w:val="en-US" w:eastAsia="zh-CN" w:bidi="ar"/>
              </w:rPr>
              <w:t xml:space="preserve">20,000,000.00 </w:t>
            </w:r>
          </w:p>
        </w:tc>
        <w:tc>
          <w:tcPr>
            <w:tcW w:w="1425" w:type="dxa"/>
            <w:noWrap w:val="0"/>
            <w:vAlign w:val="center"/>
          </w:tcPr>
          <w:p>
            <w:pPr>
              <w:keepNext w:val="0"/>
              <w:keepLines w:val="0"/>
              <w:widowControl/>
              <w:suppressLineNumbers w:val="0"/>
              <w:jc w:val="center"/>
              <w:textAlignment w:val="center"/>
              <w:rPr>
                <w:rFonts w:hint="eastAsia" w:ascii="宋体" w:hAnsi="宋体" w:eastAsia="宋体" w:cs="宋体"/>
                <w:color w:val="000000"/>
                <w:sz w:val="18"/>
                <w:szCs w:val="18"/>
              </w:rPr>
            </w:pPr>
            <w:r>
              <w:rPr>
                <w:rFonts w:hint="eastAsia" w:ascii="宋体" w:hAnsi="宋体" w:eastAsia="宋体" w:cs="宋体"/>
                <w:i w:val="0"/>
                <w:iCs w:val="0"/>
                <w:color w:val="000000"/>
                <w:kern w:val="0"/>
                <w:sz w:val="18"/>
                <w:szCs w:val="18"/>
                <w:u w:val="none"/>
                <w:lang w:val="en-US" w:eastAsia="zh-CN" w:bidi="ar"/>
              </w:rPr>
              <w:t xml:space="preserve">33,012,599.75 </w:t>
            </w:r>
          </w:p>
        </w:tc>
        <w:tc>
          <w:tcPr>
            <w:tcW w:w="1204" w:type="dxa"/>
            <w:noWrap w:val="0"/>
            <w:vAlign w:val="center"/>
          </w:tcPr>
          <w:p>
            <w:pPr>
              <w:keepNext w:val="0"/>
              <w:keepLines w:val="0"/>
              <w:widowControl/>
              <w:suppressLineNumbers w:val="0"/>
              <w:jc w:val="center"/>
              <w:textAlignment w:val="center"/>
              <w:rPr>
                <w:rFonts w:hint="eastAsia" w:ascii="宋体" w:hAnsi="宋体" w:eastAsia="宋体" w:cs="宋体"/>
                <w:color w:val="000000"/>
                <w:sz w:val="18"/>
                <w:szCs w:val="18"/>
              </w:rPr>
            </w:pPr>
            <w:r>
              <w:rPr>
                <w:rFonts w:hint="eastAsia" w:ascii="宋体" w:hAnsi="宋体" w:eastAsia="宋体" w:cs="宋体"/>
                <w:i w:val="0"/>
                <w:iCs w:val="0"/>
                <w:color w:val="000000"/>
                <w:kern w:val="0"/>
                <w:sz w:val="18"/>
                <w:szCs w:val="18"/>
                <w:u w:val="none"/>
                <w:lang w:val="en-US" w:eastAsia="zh-CN" w:bidi="ar"/>
              </w:rPr>
              <w:t xml:space="preserve">244,910.00 </w:t>
            </w:r>
          </w:p>
        </w:tc>
        <w:tc>
          <w:tcPr>
            <w:tcW w:w="1320" w:type="dxa"/>
            <w:noWrap w:val="0"/>
            <w:vAlign w:val="center"/>
          </w:tcPr>
          <w:p>
            <w:pPr>
              <w:widowControl/>
              <w:jc w:val="left"/>
              <w:rPr>
                <w:rFonts w:hint="eastAsia" w:ascii="宋体" w:hAnsi="宋体" w:eastAsia="宋体" w:cs="宋体"/>
                <w:kern w:val="0"/>
                <w:sz w:val="18"/>
                <w:szCs w:val="18"/>
                <w:lang w:eastAsia="zh-CN"/>
              </w:rPr>
            </w:pPr>
            <w:r>
              <w:rPr>
                <w:rFonts w:hint="eastAsia" w:ascii="宋体" w:hAnsi="宋体" w:eastAsia="宋体" w:cs="宋体"/>
                <w:kern w:val="0"/>
                <w:sz w:val="18"/>
                <w:szCs w:val="18"/>
              </w:rPr>
              <w:t>郓城县金旭房地产开发有限公司、宋宗军、初桂娟</w:t>
            </w:r>
          </w:p>
        </w:tc>
        <w:tc>
          <w:tcPr>
            <w:tcW w:w="2360" w:type="dxa"/>
            <w:noWrap w:val="0"/>
            <w:vAlign w:val="center"/>
          </w:tcPr>
          <w:p>
            <w:pPr>
              <w:widowControl/>
              <w:jc w:val="left"/>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抵押物1-商住用地及在建工程，在建工程面积9,367.94平方米，土地面积共计67,787.99平方米，其中，住宅用地61,009.99平方米，商服用地6,778.00平方米，权属为债务人，位于郓城县南环路以北、新城街以西金旭·凯旋城小区40号楼及42号楼，最高额抵押金额4500万元；抵押物2-商业房产2套，土地面积171.10平方米，房产面积412.12平方米，权属为初桂娟，位于郓城县胜利街北段唐塔商城一号楼104、105号，最高抵押担保金额400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67" w:type="dxa"/>
            <w:noWrap w:val="0"/>
            <w:vAlign w:val="center"/>
          </w:tcPr>
          <w:p>
            <w:pPr>
              <w:widowControl/>
              <w:jc w:val="center"/>
              <w:rPr>
                <w:rFonts w:hint="eastAsia" w:ascii="宋体" w:hAnsi="宋体" w:eastAsia="宋体" w:cs="宋体"/>
                <w:kern w:val="0"/>
                <w:sz w:val="18"/>
                <w:szCs w:val="18"/>
              </w:rPr>
            </w:pPr>
            <w:r>
              <w:rPr>
                <w:rFonts w:hint="eastAsia" w:ascii="宋体" w:hAnsi="宋体" w:eastAsia="宋体" w:cs="宋体"/>
                <w:kern w:val="0"/>
                <w:sz w:val="18"/>
                <w:szCs w:val="18"/>
              </w:rPr>
              <w:t>2</w:t>
            </w:r>
          </w:p>
        </w:tc>
        <w:tc>
          <w:tcPr>
            <w:tcW w:w="1246" w:type="dxa"/>
            <w:noWrap w:val="0"/>
            <w:vAlign w:val="center"/>
          </w:tcPr>
          <w:p>
            <w:pPr>
              <w:keepNext w:val="0"/>
              <w:keepLines w:val="0"/>
              <w:widowControl/>
              <w:suppressLineNumbers w:val="0"/>
              <w:jc w:val="center"/>
              <w:textAlignment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eastAsia="zh-CN"/>
              </w:rPr>
              <w:t>郓城县万马塑料制品有限公司</w:t>
            </w:r>
          </w:p>
        </w:tc>
        <w:tc>
          <w:tcPr>
            <w:tcW w:w="1538" w:type="dxa"/>
            <w:noWrap w:val="0"/>
            <w:vAlign w:val="center"/>
          </w:tcPr>
          <w:p>
            <w:pPr>
              <w:keepNext w:val="0"/>
              <w:keepLines w:val="0"/>
              <w:widowControl/>
              <w:suppressLineNumbers w:val="0"/>
              <w:jc w:val="center"/>
              <w:textAlignment w:val="center"/>
              <w:rPr>
                <w:rFonts w:hint="eastAsia" w:ascii="宋体" w:hAnsi="宋体" w:eastAsia="宋体" w:cs="宋体"/>
                <w:color w:val="000000"/>
                <w:sz w:val="18"/>
                <w:szCs w:val="18"/>
              </w:rPr>
            </w:pPr>
            <w:r>
              <w:rPr>
                <w:rFonts w:hint="eastAsia" w:ascii="宋体" w:hAnsi="宋体" w:eastAsia="宋体" w:cs="宋体"/>
                <w:i w:val="0"/>
                <w:iCs w:val="0"/>
                <w:color w:val="000000"/>
                <w:kern w:val="0"/>
                <w:sz w:val="18"/>
                <w:szCs w:val="18"/>
                <w:u w:val="none"/>
                <w:lang w:val="en-US" w:eastAsia="zh-CN" w:bidi="ar"/>
              </w:rPr>
              <w:t xml:space="preserve">4,800,000.00 </w:t>
            </w:r>
          </w:p>
        </w:tc>
        <w:tc>
          <w:tcPr>
            <w:tcW w:w="1425" w:type="dxa"/>
            <w:noWrap w:val="0"/>
            <w:vAlign w:val="center"/>
          </w:tcPr>
          <w:p>
            <w:pPr>
              <w:keepNext w:val="0"/>
              <w:keepLines w:val="0"/>
              <w:widowControl/>
              <w:suppressLineNumbers w:val="0"/>
              <w:jc w:val="center"/>
              <w:textAlignment w:val="center"/>
              <w:rPr>
                <w:rFonts w:hint="eastAsia" w:ascii="宋体" w:hAnsi="宋体" w:eastAsia="宋体" w:cs="宋体"/>
                <w:color w:val="000000"/>
                <w:sz w:val="18"/>
                <w:szCs w:val="18"/>
              </w:rPr>
            </w:pPr>
            <w:r>
              <w:rPr>
                <w:rFonts w:hint="eastAsia" w:ascii="宋体" w:hAnsi="宋体" w:eastAsia="宋体" w:cs="宋体"/>
                <w:i w:val="0"/>
                <w:iCs w:val="0"/>
                <w:color w:val="000000"/>
                <w:kern w:val="0"/>
                <w:sz w:val="18"/>
                <w:szCs w:val="18"/>
                <w:u w:val="none"/>
                <w:lang w:val="en-US" w:eastAsia="zh-CN" w:bidi="ar"/>
              </w:rPr>
              <w:t xml:space="preserve">7,289,983.52  </w:t>
            </w:r>
          </w:p>
        </w:tc>
        <w:tc>
          <w:tcPr>
            <w:tcW w:w="1204" w:type="dxa"/>
            <w:noWrap w:val="0"/>
            <w:vAlign w:val="center"/>
          </w:tcPr>
          <w:p>
            <w:pPr>
              <w:keepNext w:val="0"/>
              <w:keepLines w:val="0"/>
              <w:widowControl/>
              <w:suppressLineNumbers w:val="0"/>
              <w:jc w:val="center"/>
              <w:textAlignment w:val="center"/>
              <w:rPr>
                <w:rFonts w:hint="eastAsia" w:ascii="宋体" w:hAnsi="宋体" w:eastAsia="宋体" w:cs="宋体"/>
                <w:color w:val="000000"/>
                <w:sz w:val="18"/>
                <w:szCs w:val="18"/>
              </w:rPr>
            </w:pPr>
            <w:r>
              <w:rPr>
                <w:rFonts w:hint="eastAsia" w:ascii="宋体" w:hAnsi="宋体" w:eastAsia="宋体" w:cs="宋体"/>
                <w:i w:val="0"/>
                <w:iCs w:val="0"/>
                <w:color w:val="000000"/>
                <w:kern w:val="0"/>
                <w:sz w:val="18"/>
                <w:szCs w:val="18"/>
                <w:u w:val="none"/>
                <w:lang w:val="en-US" w:eastAsia="zh-CN" w:bidi="ar"/>
              </w:rPr>
              <w:t xml:space="preserve">45,200.00 </w:t>
            </w:r>
          </w:p>
        </w:tc>
        <w:tc>
          <w:tcPr>
            <w:tcW w:w="1320" w:type="dxa"/>
            <w:noWrap w:val="0"/>
            <w:vAlign w:val="center"/>
          </w:tcPr>
          <w:p>
            <w:pPr>
              <w:widowControl/>
              <w:jc w:val="left"/>
              <w:rPr>
                <w:rFonts w:hint="eastAsia" w:ascii="宋体" w:hAnsi="宋体" w:eastAsia="宋体" w:cs="宋体"/>
                <w:kern w:val="0"/>
                <w:sz w:val="18"/>
                <w:szCs w:val="18"/>
                <w:lang w:eastAsia="zh-CN"/>
              </w:rPr>
            </w:pPr>
            <w:r>
              <w:rPr>
                <w:rFonts w:hint="eastAsia" w:ascii="宋体" w:hAnsi="宋体" w:eastAsia="宋体" w:cs="宋体"/>
                <w:kern w:val="0"/>
                <w:sz w:val="18"/>
                <w:szCs w:val="18"/>
              </w:rPr>
              <w:t>郓城泰和印刷有限公司</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山东协力生物科技股份有限公司</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王林重、刁莹莹、刘桂贺</w:t>
            </w:r>
            <w:r>
              <w:rPr>
                <w:rFonts w:hint="eastAsia" w:ascii="宋体" w:hAnsi="宋体" w:cs="宋体"/>
                <w:kern w:val="0"/>
                <w:sz w:val="18"/>
                <w:szCs w:val="18"/>
                <w:lang w:eastAsia="zh-CN"/>
              </w:rPr>
              <w:t>、郓城县万马塑料制品有限公司</w:t>
            </w:r>
          </w:p>
        </w:tc>
        <w:tc>
          <w:tcPr>
            <w:tcW w:w="2360" w:type="dxa"/>
            <w:noWrap w:val="0"/>
            <w:vAlign w:val="center"/>
          </w:tcPr>
          <w:p>
            <w:pPr>
              <w:widowControl/>
              <w:jc w:val="left"/>
              <w:rPr>
                <w:rFonts w:hint="default" w:ascii="宋体" w:hAnsi="宋体" w:eastAsia="宋体" w:cs="宋体"/>
                <w:kern w:val="0"/>
                <w:sz w:val="18"/>
                <w:szCs w:val="18"/>
                <w:lang w:val="en-US"/>
              </w:rPr>
            </w:pPr>
            <w:r>
              <w:rPr>
                <w:rFonts w:hint="eastAsia" w:ascii="宋体" w:hAnsi="宋体" w:cs="宋体"/>
                <w:kern w:val="0"/>
                <w:sz w:val="18"/>
                <w:szCs w:val="18"/>
                <w:lang w:val="en-US" w:eastAsia="zh-CN"/>
              </w:rPr>
              <w:t>抵押物-机器设备，</w:t>
            </w:r>
            <w:bookmarkStart w:id="0" w:name="_GoBack"/>
            <w:bookmarkEnd w:id="0"/>
            <w:r>
              <w:rPr>
                <w:rFonts w:hint="eastAsia" w:ascii="宋体" w:hAnsi="宋体" w:cs="宋体"/>
                <w:kern w:val="0"/>
                <w:sz w:val="18"/>
                <w:szCs w:val="18"/>
                <w:lang w:val="en-US" w:eastAsia="zh-CN"/>
              </w:rPr>
              <w:t>系吹塑机（65型）三台、吹塑机（90型）、吹塑机（75型）两台、吹塑机（180型）一台、吹塑机（120型）一台，抵押人为债务人，抵押担保金额480万元。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667" w:type="dxa"/>
            <w:noWrap w:val="0"/>
            <w:vAlign w:val="center"/>
          </w:tcPr>
          <w:p>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1246" w:type="dxa"/>
            <w:noWrap w:val="0"/>
            <w:vAlign w:val="center"/>
          </w:tcPr>
          <w:p>
            <w:pPr>
              <w:keepNext w:val="0"/>
              <w:keepLines w:val="0"/>
              <w:widowControl/>
              <w:suppressLineNumbers w:val="0"/>
              <w:jc w:val="center"/>
              <w:textAlignment w:val="center"/>
              <w:rPr>
                <w:rFonts w:hint="default" w:ascii="宋体" w:hAnsi="宋体" w:eastAsia="宋体" w:cs="宋体"/>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郓城巨鑫精细化工有限公司</w:t>
            </w:r>
          </w:p>
        </w:tc>
        <w:tc>
          <w:tcPr>
            <w:tcW w:w="1538"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335,580.24 </w:t>
            </w:r>
          </w:p>
        </w:tc>
        <w:tc>
          <w:tcPr>
            <w:tcW w:w="1425"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2,825,237.19  </w:t>
            </w:r>
          </w:p>
        </w:tc>
        <w:tc>
          <w:tcPr>
            <w:tcW w:w="1204" w:type="dxa"/>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 xml:space="preserve">0.00 </w:t>
            </w:r>
          </w:p>
        </w:tc>
        <w:tc>
          <w:tcPr>
            <w:tcW w:w="1320" w:type="dxa"/>
            <w:noWrap w:val="0"/>
            <w:vAlign w:val="center"/>
          </w:tcPr>
          <w:p>
            <w:pPr>
              <w:widowControl/>
              <w:jc w:val="left"/>
              <w:rPr>
                <w:rFonts w:hint="eastAsia" w:ascii="宋体" w:hAnsi="宋体" w:eastAsia="宋体" w:cs="宋体"/>
                <w:kern w:val="0"/>
                <w:sz w:val="18"/>
                <w:szCs w:val="18"/>
              </w:rPr>
            </w:pPr>
            <w:r>
              <w:rPr>
                <w:rFonts w:hint="eastAsia" w:ascii="宋体" w:hAnsi="宋体" w:eastAsia="宋体" w:cs="宋体"/>
                <w:kern w:val="0"/>
                <w:sz w:val="18"/>
                <w:szCs w:val="18"/>
              </w:rPr>
              <w:t>郓城县永兴工艺礼品有限公司</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宋爱民</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董志刚</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彭济春</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王顺锡</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苑保停</w:t>
            </w:r>
            <w:r>
              <w:rPr>
                <w:rFonts w:hint="eastAsia" w:ascii="宋体" w:hAnsi="宋体" w:eastAsia="宋体" w:cs="宋体"/>
                <w:kern w:val="0"/>
                <w:sz w:val="18"/>
                <w:szCs w:val="18"/>
                <w:lang w:eastAsia="zh-CN"/>
              </w:rPr>
              <w:t>、</w:t>
            </w:r>
            <w:r>
              <w:rPr>
                <w:rFonts w:hint="eastAsia" w:ascii="宋体" w:hAnsi="宋体" w:eastAsia="宋体" w:cs="宋体"/>
                <w:kern w:val="0"/>
                <w:sz w:val="18"/>
                <w:szCs w:val="18"/>
              </w:rPr>
              <w:t>王新平</w:t>
            </w:r>
          </w:p>
        </w:tc>
        <w:tc>
          <w:tcPr>
            <w:tcW w:w="2360" w:type="dxa"/>
            <w:noWrap w:val="0"/>
            <w:vAlign w:val="center"/>
          </w:tcPr>
          <w:p>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1" w:hRule="atLeast"/>
          <w:jc w:val="center"/>
        </w:trPr>
        <w:tc>
          <w:tcPr>
            <w:tcW w:w="667" w:type="dxa"/>
            <w:noWrap w:val="0"/>
            <w:vAlign w:val="center"/>
          </w:tcPr>
          <w:p>
            <w:pPr>
              <w:widowControl/>
              <w:jc w:val="center"/>
              <w:rPr>
                <w:rFonts w:hint="eastAsia" w:ascii="宋体" w:hAnsi="宋体" w:eastAsia="宋体" w:cs="宋体"/>
                <w:kern w:val="0"/>
                <w:sz w:val="18"/>
                <w:szCs w:val="18"/>
              </w:rPr>
            </w:pPr>
          </w:p>
        </w:tc>
        <w:tc>
          <w:tcPr>
            <w:tcW w:w="1246" w:type="dxa"/>
            <w:noWrap w:val="0"/>
            <w:vAlign w:val="center"/>
          </w:tcPr>
          <w:p>
            <w:pPr>
              <w:widowControl/>
              <w:jc w:val="center"/>
              <w:rPr>
                <w:rFonts w:hint="eastAsia" w:ascii="宋体" w:hAnsi="宋体" w:eastAsia="宋体" w:cs="宋体"/>
                <w:b/>
                <w:kern w:val="0"/>
                <w:sz w:val="18"/>
                <w:szCs w:val="18"/>
              </w:rPr>
            </w:pPr>
            <w:r>
              <w:rPr>
                <w:rFonts w:hint="eastAsia" w:ascii="宋体" w:hAnsi="宋体" w:eastAsia="宋体" w:cs="宋体"/>
                <w:b/>
                <w:kern w:val="0"/>
                <w:sz w:val="18"/>
                <w:szCs w:val="18"/>
              </w:rPr>
              <w:t>合计</w:t>
            </w:r>
          </w:p>
        </w:tc>
        <w:tc>
          <w:tcPr>
            <w:tcW w:w="1538" w:type="dxa"/>
            <w:noWrap w:val="0"/>
            <w:vAlign w:val="center"/>
          </w:tcPr>
          <w:p>
            <w:pPr>
              <w:keepNext w:val="0"/>
              <w:keepLines w:val="0"/>
              <w:widowControl/>
              <w:suppressLineNumbers w:val="0"/>
              <w:jc w:val="center"/>
              <w:textAlignment w:val="center"/>
              <w:rPr>
                <w:rFonts w:hint="eastAsia" w:ascii="宋体" w:hAnsi="宋体" w:eastAsia="宋体" w:cs="宋体"/>
                <w:b/>
                <w:color w:val="000000"/>
                <w:sz w:val="18"/>
                <w:szCs w:val="18"/>
              </w:rPr>
            </w:pPr>
            <w:r>
              <w:rPr>
                <w:rFonts w:hint="eastAsia" w:ascii="宋体" w:hAnsi="宋体" w:eastAsia="宋体" w:cs="宋体"/>
                <w:b/>
                <w:bCs/>
                <w:i w:val="0"/>
                <w:iCs w:val="0"/>
                <w:color w:val="000000"/>
                <w:kern w:val="0"/>
                <w:sz w:val="18"/>
                <w:szCs w:val="18"/>
                <w:u w:val="none"/>
                <w:lang w:val="en-US" w:eastAsia="zh-CN" w:bidi="ar"/>
              </w:rPr>
              <w:t xml:space="preserve">25,135,580.24 </w:t>
            </w:r>
          </w:p>
        </w:tc>
        <w:tc>
          <w:tcPr>
            <w:tcW w:w="1425" w:type="dxa"/>
            <w:noWrap w:val="0"/>
            <w:vAlign w:val="center"/>
          </w:tcPr>
          <w:p>
            <w:pPr>
              <w:keepNext w:val="0"/>
              <w:keepLines w:val="0"/>
              <w:widowControl/>
              <w:suppressLineNumbers w:val="0"/>
              <w:jc w:val="center"/>
              <w:textAlignment w:val="center"/>
              <w:rPr>
                <w:rFonts w:hint="eastAsia" w:ascii="宋体" w:hAnsi="宋体" w:eastAsia="宋体" w:cs="宋体"/>
                <w:b/>
                <w:color w:val="000000"/>
                <w:sz w:val="18"/>
                <w:szCs w:val="18"/>
              </w:rPr>
            </w:pPr>
            <w:r>
              <w:rPr>
                <w:rFonts w:hint="eastAsia" w:ascii="宋体" w:hAnsi="宋体" w:eastAsia="宋体" w:cs="宋体"/>
                <w:b/>
                <w:bCs/>
                <w:i w:val="0"/>
                <w:iCs w:val="0"/>
                <w:color w:val="000000"/>
                <w:kern w:val="0"/>
                <w:sz w:val="18"/>
                <w:szCs w:val="18"/>
                <w:u w:val="none"/>
                <w:lang w:val="en-US" w:eastAsia="zh-CN" w:bidi="ar"/>
              </w:rPr>
              <w:t xml:space="preserve">43,127,820.46  </w:t>
            </w:r>
          </w:p>
        </w:tc>
        <w:tc>
          <w:tcPr>
            <w:tcW w:w="1204" w:type="dxa"/>
            <w:noWrap w:val="0"/>
            <w:vAlign w:val="center"/>
          </w:tcPr>
          <w:p>
            <w:pPr>
              <w:keepNext w:val="0"/>
              <w:keepLines w:val="0"/>
              <w:widowControl/>
              <w:suppressLineNumbers w:val="0"/>
              <w:jc w:val="center"/>
              <w:textAlignment w:val="center"/>
              <w:rPr>
                <w:rFonts w:hint="eastAsia" w:ascii="宋体" w:hAnsi="宋体" w:eastAsia="宋体" w:cs="宋体"/>
                <w:b/>
                <w:color w:val="000000"/>
                <w:sz w:val="18"/>
                <w:szCs w:val="18"/>
              </w:rPr>
            </w:pPr>
            <w:r>
              <w:rPr>
                <w:rFonts w:hint="eastAsia" w:ascii="宋体" w:hAnsi="宋体" w:eastAsia="宋体" w:cs="宋体"/>
                <w:b/>
                <w:bCs/>
                <w:i w:val="0"/>
                <w:iCs w:val="0"/>
                <w:color w:val="000000"/>
                <w:kern w:val="0"/>
                <w:sz w:val="18"/>
                <w:szCs w:val="18"/>
                <w:u w:val="none"/>
                <w:lang w:val="en-US" w:eastAsia="zh-CN" w:bidi="ar"/>
              </w:rPr>
              <w:t xml:space="preserve">290,110.00 </w:t>
            </w:r>
          </w:p>
        </w:tc>
        <w:tc>
          <w:tcPr>
            <w:tcW w:w="1320" w:type="dxa"/>
            <w:noWrap w:val="0"/>
            <w:vAlign w:val="center"/>
          </w:tcPr>
          <w:p>
            <w:pPr>
              <w:widowControl/>
              <w:jc w:val="center"/>
              <w:rPr>
                <w:rFonts w:hint="eastAsia" w:ascii="宋体" w:hAnsi="宋体" w:eastAsia="宋体" w:cs="宋体"/>
                <w:b/>
                <w:kern w:val="0"/>
                <w:sz w:val="18"/>
                <w:szCs w:val="18"/>
              </w:rPr>
            </w:pPr>
          </w:p>
        </w:tc>
        <w:tc>
          <w:tcPr>
            <w:tcW w:w="2360" w:type="dxa"/>
            <w:noWrap w:val="0"/>
            <w:vAlign w:val="center"/>
          </w:tcPr>
          <w:p>
            <w:pPr>
              <w:widowControl/>
              <w:rPr>
                <w:rFonts w:hint="eastAsia" w:ascii="宋体" w:hAnsi="宋体" w:eastAsia="宋体" w:cs="宋体"/>
                <w:b/>
                <w:kern w:val="0"/>
                <w:sz w:val="18"/>
                <w:szCs w:val="18"/>
              </w:rPr>
            </w:pPr>
          </w:p>
        </w:tc>
      </w:tr>
    </w:tbl>
    <w:p>
      <w:pPr>
        <w:widowControl/>
        <w:spacing w:line="360" w:lineRule="auto"/>
        <w:ind w:firstLine="480" w:firstLineChars="200"/>
        <w:jc w:val="both"/>
        <w:rPr>
          <w:rFonts w:hint="eastAsia" w:ascii="宋体" w:hAnsi="宋体" w:eastAsia="宋体" w:cs="宋体"/>
          <w:kern w:val="0"/>
          <w:sz w:val="24"/>
          <w:szCs w:val="24"/>
          <w:highlight w:val="none"/>
          <w:lang w:eastAsia="zh-CN"/>
        </w:rPr>
      </w:pPr>
      <w:r>
        <w:rPr>
          <w:rFonts w:hint="eastAsia" w:ascii="宋体" w:hAnsi="宋体" w:cs="宋体"/>
          <w:kern w:val="0"/>
          <w:sz w:val="24"/>
          <w:szCs w:val="24"/>
          <w:highlight w:val="none"/>
        </w:rPr>
        <w:t>注：1</w:t>
      </w:r>
      <w:r>
        <w:rPr>
          <w:rFonts w:hint="eastAsia" w:ascii="宋体" w:hAnsi="宋体" w:cs="宋体"/>
          <w:kern w:val="0"/>
          <w:sz w:val="24"/>
          <w:szCs w:val="24"/>
          <w:highlight w:val="none"/>
          <w:lang w:val="en-US" w:eastAsia="zh-CN"/>
        </w:rPr>
        <w:t>.</w:t>
      </w:r>
      <w:r>
        <w:rPr>
          <w:rFonts w:hint="eastAsia" w:ascii="宋体" w:hAnsi="宋体" w:cs="宋体"/>
          <w:kern w:val="0"/>
          <w:sz w:val="24"/>
          <w:szCs w:val="24"/>
          <w:highlight w:val="none"/>
        </w:rPr>
        <w:t>本公告清单仅列示截至基准日的债权本金、利息</w:t>
      </w:r>
      <w:r>
        <w:rPr>
          <w:rFonts w:hint="eastAsia" w:ascii="宋体" w:hAnsi="宋体" w:cs="宋体"/>
          <w:kern w:val="0"/>
          <w:sz w:val="24"/>
          <w:szCs w:val="24"/>
          <w:highlight w:val="none"/>
          <w:lang w:val="en-US" w:eastAsia="zh-CN"/>
        </w:rPr>
        <w:t>及</w:t>
      </w:r>
      <w:r>
        <w:rPr>
          <w:rFonts w:hint="eastAsia" w:ascii="宋体" w:hAnsi="宋体" w:cs="宋体"/>
          <w:kern w:val="0"/>
          <w:sz w:val="24"/>
          <w:szCs w:val="24"/>
          <w:highlight w:val="none"/>
        </w:rPr>
        <w:t>其他债权</w:t>
      </w:r>
      <w:r>
        <w:rPr>
          <w:rFonts w:hint="eastAsia" w:ascii="宋体" w:hAnsi="宋体" w:cs="宋体"/>
          <w:kern w:val="0"/>
          <w:sz w:val="24"/>
          <w:szCs w:val="24"/>
          <w:highlight w:val="none"/>
          <w:lang w:val="en-US" w:eastAsia="zh-CN"/>
        </w:rPr>
        <w:t>余额</w:t>
      </w:r>
      <w:r>
        <w:rPr>
          <w:rFonts w:hint="eastAsia" w:ascii="宋体" w:hAnsi="宋体" w:cs="宋体"/>
          <w:kern w:val="0"/>
          <w:sz w:val="24"/>
          <w:szCs w:val="24"/>
          <w:highlight w:val="none"/>
        </w:rPr>
        <w:t>，基准日后债务人和担保人应支付的利息、违约金、相关费用等按照相关合同协议、生效法律文书及法律法规的规定计算。</w:t>
      </w:r>
    </w:p>
    <w:p>
      <w:pPr>
        <w:widowControl/>
        <w:spacing w:line="360" w:lineRule="auto"/>
        <w:ind w:firstLine="481"/>
        <w:jc w:val="both"/>
        <w:rPr>
          <w:rFonts w:hint="eastAsia" w:ascii="宋体" w:hAnsi="宋体" w:cs="宋体"/>
          <w:kern w:val="0"/>
          <w:sz w:val="24"/>
          <w:szCs w:val="24"/>
          <w:highlight w:val="none"/>
          <w:lang w:val="en-US" w:eastAsia="zh-CN"/>
        </w:rPr>
      </w:pPr>
      <w:r>
        <w:rPr>
          <w:rFonts w:hint="eastAsia" w:ascii="宋体" w:hAnsi="宋体" w:cs="宋体"/>
          <w:kern w:val="0"/>
          <w:sz w:val="24"/>
          <w:szCs w:val="24"/>
          <w:highlight w:val="none"/>
          <w:lang w:val="en-US" w:eastAsia="zh-CN"/>
        </w:rPr>
        <w:t>2.若债务人、担保人因各种原因更名、改制、歇业、吊销营业执照或丧失民事主体资格的，请相关承债主体及/或主管部门代为履行义务或履行清算责任。若本清单中担保人名单出现遗漏、笔误的，并不意味着中国中信金融资产管理股份有限公司山东省分公司对其担保责任的免除，担保人仍须按合同约定及法律规定履行担保责任。</w:t>
      </w:r>
    </w:p>
    <w:p>
      <w:pPr>
        <w:widowControl/>
        <w:spacing w:line="360" w:lineRule="auto"/>
        <w:ind w:firstLine="481"/>
        <w:jc w:val="both"/>
        <w:rPr>
          <w:rFonts w:hint="eastAsia" w:ascii="宋体" w:hAnsi="宋体" w:cs="宋体"/>
          <w:kern w:val="0"/>
          <w:sz w:val="24"/>
          <w:szCs w:val="24"/>
          <w:highlight w:val="none"/>
          <w:lang w:val="en-US" w:eastAsia="zh-CN"/>
        </w:rPr>
      </w:pPr>
      <w:r>
        <w:rPr>
          <w:rFonts w:hint="eastAsia" w:ascii="宋体" w:hAnsi="宋体" w:cs="宋体"/>
          <w:kern w:val="0"/>
          <w:sz w:val="24"/>
          <w:szCs w:val="24"/>
          <w:highlight w:val="none"/>
          <w:lang w:val="en-US" w:eastAsia="zh-CN"/>
        </w:rPr>
        <w:t>3.清单中的“担保人”包括保证人、抵押人、出质人。</w:t>
      </w:r>
    </w:p>
    <w:p>
      <w:pPr>
        <w:widowControl/>
        <w:spacing w:line="360" w:lineRule="auto"/>
        <w:ind w:firstLine="481"/>
        <w:jc w:val="both"/>
      </w:pPr>
      <w:r>
        <w:rPr>
          <w:rFonts w:hint="eastAsia" w:ascii="宋体" w:hAnsi="宋体" w:cs="宋体"/>
          <w:kern w:val="0"/>
          <w:sz w:val="24"/>
          <w:szCs w:val="24"/>
          <w:highlight w:val="none"/>
          <w:lang w:val="en-US" w:eastAsia="zh-CN"/>
        </w:rPr>
        <w:t>4.如清单中债务人、债权金额、担保人等信息与事实不符的，以相关合同、生效法律文书等为准</w:t>
      </w:r>
      <w:r>
        <w:rPr>
          <w:rFonts w:hint="eastAsia" w:ascii="宋体" w:hAnsi="宋体" w:cs="宋体"/>
          <w:kern w:val="0"/>
          <w:sz w:val="24"/>
          <w:szCs w:val="24"/>
          <w:highlight w:val="none"/>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AB7F28"/>
    <w:rsid w:val="092F7DA0"/>
    <w:rsid w:val="1AB5051A"/>
    <w:rsid w:val="3C237FF0"/>
    <w:rsid w:val="4A6D7538"/>
    <w:rsid w:val="4C692208"/>
    <w:rsid w:val="4C8F0EE5"/>
    <w:rsid w:val="4EB969C3"/>
    <w:rsid w:val="712B0D4F"/>
    <w:rsid w:val="78E55DEC"/>
    <w:rsid w:val="7B217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0"/>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2024-06-13T03:06:00Z</dcterms:created>
  <dc:creator>leihou</dc:creator>
  <cp:lastModifiedBy>侯磊</cp:lastModifiedBy>
  <dcterms:modified xsi:type="dcterms:W3CDTF">2025-10-09T08:35:52Z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C62563BC6FA44223833E7A503C88479F</vt:lpwstr>
  </property>
</Properties>
</file>