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EE7EA3">
      <w:pPr>
        <w:spacing w:line="560" w:lineRule="exact"/>
        <w:jc w:val="right"/>
        <w:rPr>
          <w:rFonts w:cs="Tahoma" w:asciiTheme="minorEastAsia" w:hAnsiTheme="minorEastAsia" w:eastAsiaTheme="minorEastAsia"/>
          <w:b/>
          <w:bCs/>
          <w:color w:val="000000" w:themeColor="text1"/>
          <w:sz w:val="30"/>
          <w:szCs w:val="30"/>
          <w14:textFill>
            <w14:solidFill>
              <w14:schemeClr w14:val="tx1"/>
            </w14:solidFill>
          </w14:textFill>
        </w:rPr>
      </w:pPr>
      <w:bookmarkStart w:id="34" w:name="_GoBack"/>
      <w:bookmarkEnd w:id="34"/>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14:paraId="0389A628">
      <w:pPr>
        <w:tabs>
          <w:tab w:val="left" w:pos="630"/>
        </w:tabs>
        <w:spacing w:line="560" w:lineRule="exact"/>
        <w:ind w:firstLine="0" w:firstLineChars="0"/>
        <w:rPr>
          <w:rFonts w:hint="eastAsia" w:cs="Tahoma" w:asciiTheme="minorEastAsia" w:hAnsiTheme="minorEastAsia" w:eastAsiaTheme="minorEastAsia"/>
          <w:b/>
          <w:bCs/>
          <w:color w:val="000000" w:themeColor="text1"/>
          <w:sz w:val="44"/>
          <w:szCs w:val="44"/>
          <w14:textFill>
            <w14:solidFill>
              <w14:schemeClr w14:val="tx1"/>
            </w14:solidFill>
          </w14:textFill>
        </w:rPr>
      </w:pPr>
      <w:r>
        <w:rPr>
          <w:rFonts w:hint="eastAsia" w:asciiTheme="minorEastAsia" w:hAnsiTheme="minorEastAsia" w:eastAsiaTheme="minorEastAsia"/>
          <w:bCs/>
          <w:color w:val="000000" w:themeColor="text1"/>
          <w:sz w:val="28"/>
          <w:szCs w:val="28"/>
          <w:highlight w:val="yellow"/>
          <w:lang w:eastAsia="zh-CN"/>
          <w14:textFill>
            <w14:solidFill>
              <w14:schemeClr w14:val="tx1"/>
            </w14:solidFill>
          </w14:textFill>
        </w:rPr>
        <w:t>【</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提示：</w:t>
      </w:r>
      <w:r>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t>如合同可加水印，水印有编号,且可完整显示</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w:t>
      </w:r>
      <w:r>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t>可删除此处编</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号</w:t>
      </w:r>
      <w:r>
        <w:rPr>
          <w:rFonts w:hint="eastAsia" w:asciiTheme="minorEastAsia" w:hAnsiTheme="minorEastAsia" w:eastAsiaTheme="minorEastAsia"/>
          <w:bCs/>
          <w:color w:val="000000" w:themeColor="text1"/>
          <w:sz w:val="28"/>
          <w:szCs w:val="28"/>
          <w:highlight w:val="yellow"/>
          <w:lang w:eastAsia="zh-CN"/>
          <w14:textFill>
            <w14:solidFill>
              <w14:schemeClr w14:val="tx1"/>
            </w14:solidFill>
          </w14:textFill>
        </w:rPr>
        <w:t>。】</w:t>
      </w:r>
    </w:p>
    <w:p w14:paraId="35A5017D">
      <w:pPr>
        <w:spacing w:line="560" w:lineRule="exact"/>
        <w:rPr>
          <w:rFonts w:cs="Tahoma" w:asciiTheme="minorEastAsia" w:hAnsiTheme="minorEastAsia" w:eastAsiaTheme="minorEastAsia"/>
          <w:b/>
          <w:bCs/>
          <w:color w:val="000000" w:themeColor="text1"/>
          <w:sz w:val="44"/>
          <w:szCs w:val="44"/>
          <w14:textFill>
            <w14:solidFill>
              <w14:schemeClr w14:val="tx1"/>
            </w14:solidFill>
          </w14:textFill>
        </w:rPr>
      </w:pPr>
    </w:p>
    <w:p w14:paraId="3DC98E72">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14:paraId="0C011830">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14:paraId="65E400E6">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14:paraId="6F9FEEE3">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14:paraId="393E1310">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14:paraId="01B2C53D">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p>
    <w:p w14:paraId="5637DCAF">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14:paraId="3ADD110B">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p>
    <w:p w14:paraId="7BB296F5">
      <w:pPr>
        <w:spacing w:line="560" w:lineRule="exact"/>
        <w:jc w:val="center"/>
        <w:rPr>
          <w:rFonts w:ascii="楷体_GB2312" w:hAnsi="宋体" w:eastAsia="楷体_GB2312"/>
          <w:color w:val="000000" w:themeColor="text1"/>
          <w:sz w:val="32"/>
          <w:szCs w:val="32"/>
          <w14:textFill>
            <w14:solidFill>
              <w14:schemeClr w14:val="tx1"/>
            </w14:solidFill>
          </w14:textFill>
        </w:rPr>
      </w:pPr>
    </w:p>
    <w:p w14:paraId="32F5353D">
      <w:pPr>
        <w:spacing w:line="560" w:lineRule="exact"/>
        <w:rPr>
          <w:rFonts w:asciiTheme="minorEastAsia" w:hAnsiTheme="minorEastAsia" w:eastAsiaTheme="minorEastAsia"/>
          <w:b/>
          <w:bCs/>
          <w:color w:val="000000" w:themeColor="text1"/>
          <w:sz w:val="48"/>
          <w:szCs w:val="48"/>
          <w14:textFill>
            <w14:solidFill>
              <w14:schemeClr w14:val="tx1"/>
            </w14:solidFill>
          </w14:textFill>
        </w:rPr>
      </w:pPr>
    </w:p>
    <w:p w14:paraId="244E6563">
      <w:pPr>
        <w:pStyle w:val="13"/>
        <w:shd w:val="clear" w:color="auto" w:fill="FFFFFF"/>
        <w:spacing w:line="480" w:lineRule="atLeast"/>
        <w:ind w:left="482" w:hanging="482"/>
        <w:jc w:val="both"/>
        <w:rPr>
          <w:rFonts w:hint="eastAsia" w:cs="Times New Roman" w:asciiTheme="minorEastAsia" w:hAnsiTheme="minorEastAsia" w:eastAsiaTheme="minorEastAsia"/>
          <w:b/>
          <w:bCs/>
          <w:color w:val="000000" w:themeColor="text1"/>
          <w:szCs w:val="32"/>
          <w:lang w:val="en-US" w:eastAsia="zh-CN"/>
          <w14:textFill>
            <w14:solidFill>
              <w14:schemeClr w14:val="tx1"/>
            </w14:solidFill>
          </w14:textFill>
        </w:rPr>
      </w:pPr>
    </w:p>
    <w:p w14:paraId="52BDABA9">
      <w:pPr>
        <w:pStyle w:val="13"/>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14:paraId="5052D90F">
      <w:pPr>
        <w:widowControl/>
        <w:spacing w:line="560"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36F1EA32">
      <w:pPr>
        <w:widowControl/>
        <w:spacing w:line="560" w:lineRule="exact"/>
        <w:jc w:val="center"/>
        <w:rPr>
          <w:rFonts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14:paraId="06B308FB">
      <w:pPr>
        <w:spacing w:line="560" w:lineRule="exact"/>
        <w:rPr>
          <w:rFonts w:asciiTheme="minorEastAsia" w:hAnsiTheme="minorEastAsia" w:eastAsiaTheme="minorEastAsia"/>
          <w:b/>
          <w:color w:val="000000" w:themeColor="text1"/>
          <w:sz w:val="24"/>
          <w:szCs w:val="24"/>
          <w:u w:val="single"/>
          <w14:textFill>
            <w14:solidFill>
              <w14:schemeClr w14:val="tx1"/>
            </w14:solidFill>
          </w14:textFill>
        </w:rPr>
      </w:pPr>
    </w:p>
    <w:p w14:paraId="277E2261">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山东省</w:t>
      </w:r>
      <w:r>
        <w:rPr>
          <w:rFonts w:hint="eastAsia" w:asciiTheme="minorEastAsia" w:hAnsiTheme="minorEastAsia" w:eastAsiaTheme="minorEastAsia"/>
          <w:color w:val="000000" w:themeColor="text1"/>
          <w:sz w:val="28"/>
          <w:szCs w:val="28"/>
          <w14:textFill>
            <w14:solidFill>
              <w14:schemeClr w14:val="tx1"/>
            </w14:solidFill>
          </w14:textFill>
        </w:rPr>
        <w:t>分公司</w:t>
      </w:r>
    </w:p>
    <w:p w14:paraId="43F919E9">
      <w:pPr>
        <w:snapToGrid w:val="0"/>
        <w:spacing w:line="560" w:lineRule="exact"/>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杨震</w:t>
      </w:r>
    </w:p>
    <w:p w14:paraId="1EE05240">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地址</w:t>
      </w:r>
      <w:r>
        <w:rPr>
          <w:rFonts w:hint="eastAsia" w:asciiTheme="minorEastAsia" w:hAnsiTheme="minorEastAsia" w:eastAsiaTheme="minorEastAsia"/>
          <w:color w:val="000000" w:themeColor="text1"/>
          <w:sz w:val="28"/>
          <w:szCs w:val="28"/>
          <w14:textFill>
            <w14:solidFill>
              <w14:schemeClr w14:val="tx1"/>
            </w14:solidFill>
          </w14:textFill>
        </w:rPr>
        <w:t>：济南市经三路89号</w:t>
      </w:r>
    </w:p>
    <w:p w14:paraId="5DEA9181">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14:paraId="7541BE12">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p>
    <w:p w14:paraId="6E304C4A">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14:paraId="1E1FBE55">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14:paraId="0034B522">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14:paraId="303B6529">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14:paraId="61B0ADD1">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14:paraId="0669A541">
      <w:pPr>
        <w:snapToGrid w:val="0"/>
        <w:spacing w:line="560" w:lineRule="exact"/>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协议签订地点：济南市经三路89号</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14:paraId="496A7906">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14:paraId="713F4FC7">
      <w:pPr>
        <w:pStyle w:val="6"/>
        <w:tabs>
          <w:tab w:val="left" w:pos="2191"/>
        </w:tabs>
        <w:spacing w:line="560" w:lineRule="exact"/>
        <w:ind w:firstLine="548" w:firstLineChars="196"/>
        <w:outlineLvl w:val="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14:paraId="05BE1D07">
      <w:pPr>
        <w:pStyle w:val="6"/>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14:paraId="02AE9D8C">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  ]年[  ]月[  ]日，甲方与[         ]（以下简称原债权人）签署了《[      ]协议》（</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sz w:val="28"/>
          <w:szCs w:val="28"/>
          <w:lang w:eastAsia="zh-CN"/>
          <w14:textFill>
            <w14:solidFill>
              <w14:schemeClr w14:val="tx1"/>
            </w14:solidFill>
          </w14:textFill>
        </w:rPr>
        <w:t>编号：[       ]）。</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如有多个签署主体请根据实际情况调整相关表述。</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w:t>
      </w:r>
    </w:p>
    <w:p w14:paraId="0E5EA246">
      <w:pPr>
        <w:pStyle w:val="6"/>
        <w:tabs>
          <w:tab w:val="left" w:pos="8364"/>
        </w:tabs>
        <w:spacing w:line="560" w:lineRule="exact"/>
        <w:ind w:firstLine="56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14:paraId="6CA62AE2">
      <w:pPr>
        <w:pStyle w:val="6"/>
        <w:spacing w:line="560" w:lineRule="exact"/>
        <w:ind w:firstLine="56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14:paraId="1F5B3417">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14:paraId="53C962AD">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color w:val="000000" w:themeColor="text1"/>
          <w:sz w:val="28"/>
          <w:szCs w:val="28"/>
          <w:lang w:eastAsia="zh-CN"/>
          <w14:textFill>
            <w14:solidFill>
              <w14:schemeClr w14:val="tx1"/>
            </w14:solidFill>
          </w14:textFill>
        </w:rPr>
        <w:t>特此达成协议如下：</w:t>
      </w:r>
    </w:p>
    <w:p w14:paraId="3DBC77CF">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p>
    <w:p w14:paraId="5CEEA152">
      <w:pPr>
        <w:spacing w:line="560" w:lineRule="exact"/>
        <w:ind w:firstLine="562" w:firstLineChars="200"/>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14:paraId="00BE7123">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14:paraId="2484F154">
      <w:pPr>
        <w:spacing w:line="560" w:lineRule="exact"/>
        <w:ind w:firstLine="709"/>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w:t>
      </w:r>
      <w:r>
        <w:rPr>
          <w:rFonts w:hint="eastAsia" w:asciiTheme="minorEastAsia" w:hAnsiTheme="minorEastAsia" w:eastAsiaTheme="minorEastAsia"/>
          <w:color w:val="000000" w:themeColor="text1"/>
          <w:kern w:val="0"/>
          <w:sz w:val="28"/>
          <w:szCs w:val="28"/>
          <w:highlight w:val="none"/>
          <w14:textFill>
            <w14:solidFill>
              <w14:schemeClr w14:val="tx1"/>
            </w14:solidFill>
          </w14:textFill>
        </w:rPr>
        <w:t>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还款</w:t>
      </w:r>
      <w:r>
        <w:rPr>
          <w:rFonts w:hint="eastAsia" w:asciiTheme="minorEastAsia" w:hAnsiTheme="minorEastAsia" w:eastAsiaTheme="minorEastAsia"/>
          <w:color w:val="000000" w:themeColor="text1"/>
          <w:sz w:val="28"/>
          <w:szCs w:val="28"/>
          <w:highlight w:val="none"/>
          <w14:textFill>
            <w14:solidFill>
              <w14:schemeClr w14:val="tx1"/>
            </w14:solidFill>
          </w14:textFill>
        </w:rPr>
        <w:t>协议</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和解协议、抵债协议，或接受法院抵债裁定，而这些协议并未履行完毕或抵债物未完成过户，因此，乙方受让的对该等债务人（包括担保人）的债权，已从原始的贷款</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kern w:val="0"/>
          <w:sz w:val="28"/>
          <w:szCs w:val="28"/>
          <w14:textFill>
            <w14:solidFill>
              <w14:schemeClr w14:val="tx1"/>
            </w14:solidFill>
          </w14:textFill>
        </w:rPr>
        <w:t>、担保</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项下的债权，全部或部分转化为前述协议项下或法院生效裁定所对应的权利。相关信息见附件一《标的债权清单》。  </w:t>
      </w:r>
    </w:p>
    <w:p w14:paraId="2634B7F1">
      <w:pPr>
        <w:spacing w:line="560" w:lineRule="exact"/>
        <w:ind w:firstLine="280" w:firstLineChars="1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14:paraId="79342094">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w:t>
      </w:r>
      <w:r>
        <w:rPr>
          <w:rFonts w:hint="eastAsia" w:asciiTheme="minorEastAsia" w:hAnsiTheme="minorEastAsia" w:eastAsiaTheme="minorEastAsia"/>
          <w:color w:val="000000" w:themeColor="text1"/>
          <w:kern w:val="0"/>
          <w:sz w:val="28"/>
          <w:szCs w:val="28"/>
          <w:highlight w:val="yellow"/>
          <w14:textFill>
            <w14:solidFill>
              <w14:schemeClr w14:val="tx1"/>
            </w14:solidFill>
          </w14:textFill>
        </w:rPr>
        <w:t>[   ]年[   ]月[   ]日</w:t>
      </w:r>
      <w:r>
        <w:rPr>
          <w:rFonts w:hint="eastAsia" w:asciiTheme="minorEastAsia" w:hAnsiTheme="minorEastAsia" w:eastAsiaTheme="minorEastAsia"/>
          <w:color w:val="000000" w:themeColor="text1"/>
          <w:kern w:val="0"/>
          <w:sz w:val="28"/>
          <w:szCs w:val="28"/>
          <w14:textFill>
            <w14:solidFill>
              <w14:schemeClr w14:val="tx1"/>
            </w14:solidFill>
          </w14:textFill>
        </w:rPr>
        <w:t>。</w:t>
      </w:r>
    </w:p>
    <w:p w14:paraId="2FFC7B9D">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14:paraId="437CFF60">
      <w:pPr>
        <w:snapToGrid w:val="0"/>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14:paraId="10A23407">
      <w:pPr>
        <w:snapToGrid w:val="0"/>
        <w:spacing w:line="560" w:lineRule="exact"/>
        <w:ind w:firstLine="480" w:firstLineChars="200"/>
        <w:rPr>
          <w:rFonts w:eastAsia="华文楷体"/>
          <w:color w:val="000000" w:themeColor="text1"/>
          <w:sz w:val="24"/>
          <w14:textFill>
            <w14:solidFill>
              <w14:schemeClr w14:val="tx1"/>
            </w14:solidFill>
          </w14:textFill>
        </w:rPr>
      </w:pPr>
    </w:p>
    <w:p w14:paraId="78607364">
      <w:pPr>
        <w:pStyle w:val="6"/>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14:paraId="525829F3">
      <w:pPr>
        <w:spacing w:line="560" w:lineRule="exact"/>
        <w:ind w:firstLine="700" w:firstLineChars="2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14:paraId="030A8250">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14:paraId="277838C4">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highlight w:val="yellow"/>
          <w14:textFill>
            <w14:solidFill>
              <w14:schemeClr w14:val="tx1"/>
            </w14:solidFill>
          </w14:textFill>
        </w:rPr>
        <w:t>截至交易基准日</w:t>
      </w:r>
      <w:r>
        <w:rPr>
          <w:rFonts w:hint="eastAsia" w:asciiTheme="minorEastAsia" w:hAnsiTheme="minorEastAsia" w:eastAsiaTheme="minorEastAsia"/>
          <w:color w:val="000000" w:themeColor="text1"/>
          <w:sz w:val="28"/>
          <w:szCs w:val="28"/>
          <w:highlight w:val="yellow"/>
          <w14:textFill>
            <w14:solidFill>
              <w14:schemeClr w14:val="tx1"/>
            </w14:solidFill>
          </w14:textFill>
        </w:rPr>
        <w:t>，标的债权本息总额为人民币 [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小</w:t>
      </w:r>
      <w:r>
        <w:rPr>
          <w:rFonts w:asciiTheme="minorEastAsia" w:hAnsiTheme="minorEastAsia" w:eastAsiaTheme="minorEastAsia"/>
          <w:color w:val="000000" w:themeColor="text1"/>
          <w:sz w:val="28"/>
          <w:szCs w:val="28"/>
          <w:highlight w:val="yellow"/>
          <w14:textFill>
            <w14:solidFill>
              <w14:schemeClr w14:val="tx1"/>
            </w14:solidFill>
          </w14:textFill>
        </w:rPr>
        <w:t>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，其中</w:t>
      </w:r>
      <w:r>
        <w:rPr>
          <w:rFonts w:asciiTheme="minorEastAsia" w:hAnsiTheme="minorEastAsia" w:eastAsiaTheme="minorEastAsia"/>
          <w:color w:val="000000" w:themeColor="text1"/>
          <w:sz w:val="28"/>
          <w:szCs w:val="28"/>
          <w:highlight w:val="yellow"/>
          <w14:textFill>
            <w14:solidFill>
              <w14:schemeClr w14:val="tx1"/>
            </w14:solidFill>
          </w14:textFill>
        </w:rPr>
        <w:t>本金余额人民币</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小</w:t>
      </w:r>
      <w:r>
        <w:rPr>
          <w:rFonts w:asciiTheme="minorEastAsia" w:hAnsiTheme="minorEastAsia" w:eastAsiaTheme="minorEastAsia"/>
          <w:color w:val="000000" w:themeColor="text1"/>
          <w:sz w:val="28"/>
          <w:szCs w:val="28"/>
          <w:highlight w:val="yellow"/>
          <w14:textFill>
            <w14:solidFill>
              <w14:schemeClr w14:val="tx1"/>
            </w14:solidFill>
          </w14:textFill>
        </w:rPr>
        <w:t>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欠息</w:t>
      </w:r>
      <w:r>
        <w:rPr>
          <w:rFonts w:asciiTheme="minorEastAsia" w:hAnsiTheme="minorEastAsia" w:eastAsiaTheme="minorEastAsia"/>
          <w:color w:val="000000" w:themeColor="text1"/>
          <w:sz w:val="28"/>
          <w:szCs w:val="28"/>
          <w:highlight w:val="yellow"/>
          <w14:textFill>
            <w14:solidFill>
              <w14:schemeClr w14:val="tx1"/>
            </w14:solidFill>
          </w14:textFill>
        </w:rPr>
        <w:t>人民币</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小</w:t>
      </w:r>
      <w:r>
        <w:rPr>
          <w:rFonts w:asciiTheme="minorEastAsia" w:hAnsiTheme="minorEastAsia" w:eastAsiaTheme="minorEastAsia"/>
          <w:color w:val="000000" w:themeColor="text1"/>
          <w:sz w:val="28"/>
          <w:szCs w:val="28"/>
          <w:highlight w:val="yellow"/>
          <w14:textFill>
            <w14:solidFill>
              <w14:schemeClr w14:val="tx1"/>
            </w14:solidFill>
          </w14:textFill>
        </w:rPr>
        <w:t>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w:t>
      </w:r>
    </w:p>
    <w:p w14:paraId="034B1C70">
      <w:pPr>
        <w:tabs>
          <w:tab w:val="left" w:pos="0"/>
        </w:tabs>
        <w:topLinePunct/>
        <w:snapToGrid w:val="0"/>
        <w:spacing w:line="560" w:lineRule="exact"/>
        <w:ind w:right="-85"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代垫</w:t>
      </w:r>
      <w:r>
        <w:rPr>
          <w:rFonts w:asciiTheme="minorEastAsia" w:hAnsiTheme="minorEastAsia" w:eastAsiaTheme="minorEastAsia"/>
          <w:color w:val="000000" w:themeColor="text1"/>
          <w:sz w:val="28"/>
          <w:szCs w:val="28"/>
          <w14:textFill>
            <w14:solidFill>
              <w14:schemeClr w14:val="tx1"/>
            </w14:solidFill>
          </w14:textFill>
        </w:rPr>
        <w:t>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代垫</w:t>
      </w:r>
      <w:r>
        <w:rPr>
          <w:rFonts w:asciiTheme="minorEastAsia" w:hAnsiTheme="minorEastAsia" w:eastAsiaTheme="minorEastAsia"/>
          <w:color w:val="000000" w:themeColor="text1"/>
          <w:sz w:val="28"/>
          <w:szCs w:val="28"/>
          <w14:textFill>
            <w14:solidFill>
              <w14:schemeClr w14:val="tx1"/>
            </w14:solidFill>
          </w14:textFill>
        </w:rPr>
        <w:t>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14:paraId="3620EE24">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w:t>
      </w:r>
      <w:r>
        <w:rPr>
          <w:rFonts w:hint="eastAsia" w:asciiTheme="minorEastAsia" w:hAnsiTheme="minorEastAsia" w:eastAsiaTheme="minorEastAsia"/>
          <w:b/>
          <w:bCs/>
          <w:color w:val="000000" w:themeColor="text1"/>
          <w:sz w:val="28"/>
          <w:szCs w:val="28"/>
          <w:highlight w:val="yellow"/>
          <w14:textFill>
            <w14:solidFill>
              <w14:schemeClr w14:val="tx1"/>
            </w14:solidFill>
          </w14:textFill>
        </w:rPr>
        <w:t>[   ]年[   ]月[   ]日</w:t>
      </w:r>
      <w:r>
        <w:rPr>
          <w:rFonts w:hint="eastAsia" w:asciiTheme="minorEastAsia" w:hAnsiTheme="minorEastAsia" w:eastAsiaTheme="minorEastAsia"/>
          <w:b/>
          <w:bCs/>
          <w:color w:val="000000" w:themeColor="text1"/>
          <w:sz w:val="28"/>
          <w:szCs w:val="28"/>
          <w14:textFill>
            <w14:solidFill>
              <w14:schemeClr w14:val="tx1"/>
            </w14:solidFill>
          </w14:textFill>
        </w:rPr>
        <w:t>止的统计资料所作的一般性描述，可能存在</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较大</w:t>
      </w:r>
      <w:r>
        <w:rPr>
          <w:rFonts w:hint="eastAsia" w:asciiTheme="minorEastAsia" w:hAnsiTheme="minorEastAsia" w:eastAsiaTheme="minorEastAsia"/>
          <w:b/>
          <w:bCs/>
          <w:color w:val="000000" w:themeColor="text1"/>
          <w:sz w:val="28"/>
          <w:szCs w:val="28"/>
          <w14:textFill>
            <w14:solidFill>
              <w14:schemeClr w14:val="tx1"/>
            </w14:solidFill>
          </w14:textFill>
        </w:rPr>
        <w:t>计算误差、记录错误，或因其他原因导致乙方实际接收的标的债权所涉金额（包括但不限于本息数，下同）与附件一《标的债权清单》所列金额不完全一致，甲方对此等金额误差、记录错误无须承担任何责任；</w:t>
      </w:r>
      <w:r>
        <w:rPr>
          <w:rFonts w:ascii="宋体" w:hAnsi="宋体" w:eastAsia="宋体" w:cs="宋体"/>
          <w:sz w:val="24"/>
          <w:szCs w:val="24"/>
        </w:rPr>
        <w:br w:type="textWrapping"/>
      </w:r>
      <w:r>
        <w:rPr>
          <w:rFonts w:hint="eastAsia" w:cs="Times New Roman" w:asciiTheme="minorEastAsia" w:hAnsiTheme="minorEastAsia" w:eastAsiaTheme="minorEastAsia"/>
          <w:b/>
          <w:bCs/>
          <w:color w:val="000000" w:themeColor="text1"/>
          <w:sz w:val="28"/>
          <w:szCs w:val="28"/>
          <w:lang w:eastAsia="zh-CN"/>
          <w14:textFill>
            <w14:solidFill>
              <w14:schemeClr w14:val="tx1"/>
            </w14:solidFill>
          </w14:textFill>
        </w:rPr>
        <w:t>实际利息数额以及迟延履行金金额应以相关合同、生效法律文书及法律规定等为准；</w:t>
      </w:r>
      <w:r>
        <w:rPr>
          <w:rFonts w:ascii="宋体" w:hAnsi="宋体" w:eastAsia="宋体" w:cs="宋体"/>
          <w:sz w:val="24"/>
          <w:szCs w:val="24"/>
          <w:lang w:eastAsia="zh-CN"/>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甲方此次系按照标的债权的现状进行转让，若该等债权的有效性、金额与甲方判断或裁判机构最终认定的有效性、金额存在差别、误差，并不属于甲方违约。</w:t>
      </w:r>
    </w:p>
    <w:p w14:paraId="307917F5">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乙方确认，基准日前发生的甲方</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或原债权人</w:t>
      </w:r>
      <w:r>
        <w:rPr>
          <w:rFonts w:hint="eastAsia" w:asciiTheme="minorEastAsia" w:hAnsiTheme="minorEastAsia" w:eastAsiaTheme="minorEastAsia"/>
          <w:b/>
          <w:bCs/>
          <w:color w:val="000000" w:themeColor="text1"/>
          <w:sz w:val="28"/>
          <w:szCs w:val="28"/>
          <w14:textFill>
            <w14:solidFill>
              <w14:schemeClr w14:val="tx1"/>
            </w14:solidFill>
          </w14:textFill>
        </w:rPr>
        <w:t>为实现债权而支付的</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代垫</w:t>
      </w:r>
      <w:r>
        <w:rPr>
          <w:rFonts w:hint="eastAsia" w:asciiTheme="minorEastAsia" w:hAnsiTheme="minorEastAsia" w:eastAsiaTheme="minorEastAsia"/>
          <w:b/>
          <w:bCs/>
          <w:color w:val="000000" w:themeColor="text1"/>
          <w:sz w:val="28"/>
          <w:szCs w:val="28"/>
          <w14:textFill>
            <w14:solidFill>
              <w14:schemeClr w14:val="tx1"/>
            </w14:solidFill>
          </w14:textFill>
        </w:rPr>
        <w:t>费用仅作为其他债权做零定价转让，因该部分债权无法实现、无法得到法律支持等，不影响整体债权的定价及转让效力。</w:t>
      </w:r>
    </w:p>
    <w:p w14:paraId="32E8CC3A">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14:paraId="53BF9E8F">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14:paraId="063F5EEE">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14:paraId="472C5B17">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14:paraId="22612D36">
      <w:pPr>
        <w:snapToGrid w:val="0"/>
        <w:spacing w:line="560" w:lineRule="exact"/>
        <w:ind w:firstLine="565" w:firstLineChars="20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14:paraId="16A8EEBE">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14:paraId="59DA8C93">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14:paraId="2F5F29B1">
      <w:pPr>
        <w:tabs>
          <w:tab w:val="left" w:pos="567"/>
        </w:tabs>
        <w:spacing w:line="560" w:lineRule="exact"/>
        <w:ind w:firstLine="560" w:firstLineChars="200"/>
        <w:rPr>
          <w:rFonts w:asciiTheme="minorEastAsia" w:hAnsiTheme="minorEastAsia" w:eastAsiaTheme="minorEastAsia"/>
          <w:i/>
          <w:color w:val="000000" w:themeColor="text1"/>
          <w:sz w:val="28"/>
          <w:szCs w:val="28"/>
          <w14:textFill>
            <w14:solidFill>
              <w14:schemeClr w14:val="tx1"/>
            </w14:solidFill>
          </w14:textFill>
        </w:rPr>
      </w:pPr>
    </w:p>
    <w:p w14:paraId="471DA3E8">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bookmarkStart w:id="0" w:name="_Toc36022322"/>
      <w:bookmarkStart w:id="1" w:name="_Toc67385974"/>
      <w:bookmarkStart w:id="2" w:name="_Toc67718726"/>
      <w:bookmarkStart w:id="3" w:name="_Toc6745978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14:paraId="071B51C8">
      <w:pPr>
        <w:spacing w:line="560" w:lineRule="exact"/>
        <w:ind w:firstLine="281" w:firstLineChars="100"/>
        <w:outlineLvl w:val="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DV_M52"/>
      <w:bookmarkEnd w:id="4"/>
      <w:bookmarkStart w:id="5" w:name="_DV_M49"/>
      <w:bookmarkEnd w:id="5"/>
      <w:bookmarkStart w:id="6" w:name="_DV_M50"/>
      <w:bookmarkEnd w:id="6"/>
      <w:bookmarkStart w:id="7" w:name="_Hlt99790241"/>
      <w:bookmarkEnd w:id="7"/>
      <w:bookmarkStart w:id="8" w:name="_DV_M51"/>
      <w:bookmarkEnd w:id="8"/>
      <w:bookmarkStart w:id="9" w:name="_DV_M53"/>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14:paraId="07715C1C">
      <w:pPr>
        <w:spacing w:line="560" w:lineRule="exact"/>
        <w:ind w:firstLine="560" w:firstLineChars="200"/>
        <w:outlineLvl w:val="0"/>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一致同意，本协议项下标的债权的转让价款为人民币</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hint="eastAsia" w:asciiTheme="minorEastAsia" w:hAnsiTheme="minorEastAsia" w:eastAsiaTheme="minorEastAsia"/>
          <w:color w:val="000000" w:themeColor="text1"/>
          <w:sz w:val="28"/>
          <w:szCs w:val="28"/>
          <w:highlight w:val="yellow"/>
          <w14:textFill>
            <w14:solidFill>
              <w14:schemeClr w14:val="tx1"/>
            </w14:solidFill>
          </w14:textFill>
        </w:rPr>
        <w:t>（小写：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p>
    <w:p w14:paraId="5D488EDC">
      <w:pPr>
        <w:spacing w:line="560" w:lineRule="exact"/>
        <w:ind w:firstLine="562" w:firstLineChars="200"/>
        <w:outlineLvl w:val="0"/>
        <w:rPr>
          <w:rFonts w:asciiTheme="minorEastAsia" w:hAnsiTheme="minorEastAsia" w:eastAsiaTheme="minorEastAsia"/>
          <w:b/>
          <w:bCs/>
          <w:color w:val="000000" w:themeColor="text1"/>
          <w:sz w:val="28"/>
          <w:szCs w:val="28"/>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0"/>
    </w:p>
    <w:p w14:paraId="6F3D6171">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个工作日内将全部转让价款一次性支付至甲方的指定账户中。</w:t>
      </w:r>
    </w:p>
    <w:p w14:paraId="64ED2446">
      <w:pPr>
        <w:pStyle w:val="26"/>
        <w:widowControl w:val="0"/>
        <w:spacing w:line="560" w:lineRule="exact"/>
        <w:ind w:firstLine="560" w:firstLineChars="200"/>
        <w:rPr>
          <w:rFonts w:ascii="宋体" w:hAnsi="宋体"/>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14:paraId="5271386B">
      <w:pPr>
        <w:pStyle w:val="26"/>
        <w:widowControl w:val="0"/>
        <w:spacing w:line="560" w:lineRule="exact"/>
        <w:rPr>
          <w:rFonts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 xml:space="preserve">   【如有特殊交易安排，如通过拍卖机构、产权交易所或其他第三方平台划付转让价款的，可以根据交易安排对本条款进行修改。</w:t>
      </w:r>
      <w:r>
        <w:rPr>
          <w:rFonts w:ascii="宋体" w:hAnsi="宋体"/>
          <w:color w:val="000000" w:themeColor="text1"/>
          <w:sz w:val="28"/>
          <w:szCs w:val="28"/>
          <w:highlight w:val="yellow"/>
          <w14:textFill>
            <w14:solidFill>
              <w14:schemeClr w14:val="tx1"/>
            </w14:solidFill>
          </w14:textFill>
        </w:rPr>
        <w:t>】</w:t>
      </w:r>
    </w:p>
    <w:p w14:paraId="4C9A2E6B">
      <w:pPr>
        <w:pStyle w:val="26"/>
        <w:widowControl w:val="0"/>
        <w:spacing w:line="560" w:lineRule="exact"/>
        <w:ind w:firstLine="425" w:firstLineChars="152"/>
        <w:rPr>
          <w:rFonts w:asciiTheme="minorEastAsia" w:hAnsiTheme="minorEastAsia" w:eastAsiaTheme="minorEastAsia"/>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 </w:t>
      </w:r>
      <w:r>
        <w:rPr>
          <w:rFonts w:asciiTheme="minorEastAsia" w:hAnsiTheme="minorEastAsia" w:eastAsiaTheme="minorEastAsia"/>
          <w:bCs/>
          <w:color w:val="000000" w:themeColor="text1"/>
          <w:sz w:val="28"/>
          <w:szCs w:val="28"/>
          <w:highlight w:val="none"/>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甲方的指定账户为：</w:t>
      </w:r>
    </w:p>
    <w:p w14:paraId="21CDD5A3">
      <w:pPr>
        <w:pStyle w:val="26"/>
        <w:widowControl w:val="0"/>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开户银行：中国工商银行股份有限公司济南槐荫支行</w:t>
      </w:r>
    </w:p>
    <w:p w14:paraId="587D6D5A">
      <w:pPr>
        <w:pStyle w:val="26"/>
        <w:widowControl w:val="0"/>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户名：中国中信金融资产管理股份有限公司山东省分公司</w:t>
      </w:r>
    </w:p>
    <w:p w14:paraId="18EA4B33">
      <w:pPr>
        <w:pStyle w:val="26"/>
        <w:widowControl w:val="0"/>
        <w:spacing w:line="560" w:lineRule="exact"/>
        <w:ind w:firstLine="560" w:firstLineChars="200"/>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账</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号</w:t>
      </w:r>
      <w:r>
        <w:rPr>
          <w:rFonts w:hint="eastAsia" w:asciiTheme="minorEastAsia" w:hAnsiTheme="minorEastAsia" w:eastAsiaTheme="minorEastAsia"/>
          <w:color w:val="000000" w:themeColor="text1"/>
          <w:sz w:val="28"/>
          <w:szCs w:val="28"/>
          <w:highlight w:val="yellow"/>
          <w14:textFill>
            <w14:solidFill>
              <w14:schemeClr w14:val="tx1"/>
            </w14:solidFill>
          </w14:textFill>
        </w:rPr>
        <w:t>：1602006319200295383</w:t>
      </w:r>
    </w:p>
    <w:p w14:paraId="174CC997">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14:paraId="28C6DC31">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yellow"/>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highlight w:val="yellow"/>
          <w14:textFill>
            <w14:solidFill>
              <w14:schemeClr w14:val="tx1"/>
            </w14:solidFill>
          </w14:textFill>
        </w:rPr>
        <w:t>确认，</w:t>
      </w:r>
      <w:r>
        <w:rPr>
          <w:rFonts w:asciiTheme="minorEastAsia" w:hAnsiTheme="minorEastAsia" w:eastAsiaTheme="minorEastAsia"/>
          <w:color w:val="000000" w:themeColor="text1"/>
          <w:sz w:val="28"/>
          <w:szCs w:val="28"/>
          <w:highlight w:val="yellow"/>
          <w14:textFill>
            <w14:solidFill>
              <w14:schemeClr w14:val="tx1"/>
            </w14:solidFill>
          </w14:textFill>
        </w:rPr>
        <w:t>乙方已于</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年</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月</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日向</w:t>
      </w:r>
      <w:r>
        <w:rPr>
          <w:rFonts w:hint="eastAsia" w:asciiTheme="minorEastAsia" w:hAnsiTheme="minorEastAsia" w:eastAsiaTheme="minorEastAsia"/>
          <w:color w:val="000000" w:themeColor="text1"/>
          <w:sz w:val="28"/>
          <w:szCs w:val="28"/>
          <w:highlight w:val="yellow"/>
          <w14:textFill>
            <w14:solidFill>
              <w14:schemeClr w14:val="tx1"/>
            </w14:solidFill>
          </w14:textFill>
        </w:rPr>
        <w:t>甲</w:t>
      </w:r>
      <w:r>
        <w:rPr>
          <w:rFonts w:asciiTheme="minorEastAsia" w:hAnsiTheme="minorEastAsia" w:eastAsiaTheme="minorEastAsia"/>
          <w:color w:val="000000" w:themeColor="text1"/>
          <w:sz w:val="28"/>
          <w:szCs w:val="28"/>
          <w:highlight w:val="yellow"/>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highlight w:val="yellow"/>
          <w14:textFill>
            <w14:solidFill>
              <w14:schemeClr w14:val="tx1"/>
            </w14:solidFill>
          </w14:textFill>
        </w:rPr>
        <w:t>人民币[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hint="eastAsia" w:asciiTheme="minorEastAsia" w:hAnsiTheme="minorEastAsia" w:eastAsiaTheme="minorEastAsia"/>
          <w:color w:val="000000" w:themeColor="text1"/>
          <w:sz w:val="28"/>
          <w:szCs w:val="28"/>
          <w:highlight w:val="yellow"/>
          <w14:textFill>
            <w14:solidFill>
              <w14:schemeClr w14:val="tx1"/>
            </w14:solidFill>
          </w14:textFill>
        </w:rPr>
        <w:t>（小写：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w:t>
      </w:r>
    </w:p>
    <w:p w14:paraId="2DB10837">
      <w:pPr>
        <w:snapToGrid w:val="0"/>
        <w:spacing w:line="560" w:lineRule="exact"/>
        <w:ind w:firstLine="565" w:firstLineChars="202"/>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highlight w:val="none"/>
          <w14:textFill>
            <w14:solidFill>
              <w14:schemeClr w14:val="tx1"/>
            </w14:solidFill>
          </w14:textFill>
        </w:rPr>
        <w:t>3.3.</w:t>
      </w:r>
      <w:r>
        <w:rPr>
          <w:rFonts w:hint="eastAsia" w:asciiTheme="minorEastAsia" w:hAnsiTheme="minorEastAsia" w:eastAsiaTheme="minorEastAsia"/>
          <w:color w:val="000000" w:themeColor="text1"/>
          <w:sz w:val="28"/>
          <w:szCs w:val="28"/>
          <w:highlight w:val="none"/>
          <w14:textFill>
            <w14:solidFill>
              <w14:schemeClr w14:val="tx1"/>
            </w14:solidFill>
          </w14:textFill>
        </w:rPr>
        <w:t>2  乙方交付的</w:t>
      </w:r>
      <w:r>
        <w:rPr>
          <w:rFonts w:asciiTheme="minorEastAsia" w:hAnsiTheme="minorEastAsia" w:eastAsiaTheme="minorEastAsia"/>
          <w:color w:val="000000" w:themeColor="text1"/>
          <w:sz w:val="28"/>
          <w:szCs w:val="28"/>
          <w:highlight w:val="none"/>
          <w14:textFill>
            <w14:solidFill>
              <w14:schemeClr w14:val="tx1"/>
            </w14:solidFill>
          </w14:textFill>
        </w:rPr>
        <w:t>交易保证金</w:t>
      </w:r>
      <w:r>
        <w:rPr>
          <w:rFonts w:hint="eastAsia" w:asciiTheme="minorEastAsia" w:hAnsiTheme="minorEastAsia" w:eastAsiaTheme="minorEastAsia"/>
          <w:color w:val="000000" w:themeColor="text1"/>
          <w:sz w:val="28"/>
          <w:szCs w:val="28"/>
          <w:highlight w:val="none"/>
          <w14:textFill>
            <w14:solidFill>
              <w14:schemeClr w14:val="tx1"/>
            </w14:solidFill>
          </w14:textFill>
        </w:rPr>
        <w:t>（不计利息）可相应充抵乙方应向甲方支付的转让价款。</w:t>
      </w:r>
    </w:p>
    <w:p w14:paraId="25C93FB9">
      <w:pPr>
        <w:snapToGrid w:val="0"/>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3  如果乙方存在违反《邀请函》、《公开竞价须知及程序》、《</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保密</w:t>
      </w:r>
      <w:r>
        <w:rPr>
          <w:rFonts w:hint="eastAsia" w:asciiTheme="minorEastAsia" w:hAnsiTheme="minorEastAsia" w:eastAsiaTheme="minorEastAsia"/>
          <w:b/>
          <w:bCs/>
          <w:color w:val="000000" w:themeColor="text1"/>
          <w:sz w:val="28"/>
          <w:szCs w:val="28"/>
          <w14:textFill>
            <w14:solidFill>
              <w14:schemeClr w14:val="tx1"/>
            </w14:solidFill>
          </w14:textFill>
        </w:rPr>
        <w:t>承诺函》等文件的行为，甲方有权根据损失程度没收乙方全部或部分交易保证金。</w:t>
      </w:r>
    </w:p>
    <w:p w14:paraId="769E567D">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14:paraId="77C04B6A">
      <w:pPr>
        <w:adjustRightInd w:val="0"/>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14:paraId="6BEF3F68">
      <w:pPr>
        <w:pStyle w:val="26"/>
        <w:widowControl w:val="0"/>
        <w:spacing w:line="560" w:lineRule="exact"/>
        <w:ind w:firstLine="562" w:firstLineChars="200"/>
        <w:rPr>
          <w:rFonts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67459789"/>
      <w:bookmarkStart w:id="13" w:name="_Toc67718733"/>
      <w:bookmarkStart w:id="14" w:name="_Toc67385981"/>
      <w:bookmarkStart w:id="15" w:name="_Toc36022336"/>
      <w:bookmarkStart w:id="16" w:name="_Toc58517669"/>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14:paraId="0B0E0A0A">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应当依照有关法律法规规定，各自承担与本次债权转让有关的任何税费。</w:t>
      </w:r>
    </w:p>
    <w:p w14:paraId="3B13FC94">
      <w:pPr>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14:paraId="4D9508AE">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14:paraId="3880C1AF">
      <w:pPr>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14:paraId="43856E5C">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宋体" w:hAnsi="宋体"/>
          <w:b/>
          <w:bCs w:val="0"/>
          <w:snapToGrid w:val="0"/>
          <w:color w:val="000000" w:themeColor="text1"/>
          <w:kern w:val="28"/>
          <w:sz w:val="24"/>
          <w:szCs w:val="24"/>
          <w14:textFill>
            <w14:solidFill>
              <w14:schemeClr w14:val="tx1"/>
            </w14:solidFill>
          </w14:textFill>
        </w:rPr>
        <w:t xml:space="preserve"> </w:t>
      </w:r>
      <w:r>
        <w:rPr>
          <w:rFonts w:hint="eastAsia" w:ascii="宋体" w:hAnsi="宋体"/>
          <w:b w:val="0"/>
          <w:bCs/>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b w:val="0"/>
          <w:bCs/>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val="0"/>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14:paraId="1959D99A">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14:paraId="196F2112">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val="0"/>
          <w:bCs w:val="0"/>
          <w:color w:val="000000" w:themeColor="text1"/>
          <w:sz w:val="28"/>
          <w:szCs w:val="28"/>
          <w14:textFill>
            <w14:solidFill>
              <w14:schemeClr w14:val="tx1"/>
            </w14:solidFill>
          </w14:textFill>
        </w:rPr>
        <w:t>4.3</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在过渡期内，甲方就标的债权进行过的全部或部分处置、管理行为，为维护债权或其它相关权利而采取的所有措施，以及因采取这些行为、措施而产生的相应处置结果，乙方同意无条件予以认可并接受。</w:t>
      </w:r>
    </w:p>
    <w:p w14:paraId="03C2EAD3">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val="0"/>
          <w:bCs w:val="0"/>
          <w:color w:val="000000" w:themeColor="text1"/>
          <w:sz w:val="28"/>
          <w:szCs w:val="28"/>
          <w14:textFill>
            <w14:solidFill>
              <w14:schemeClr w14:val="tx1"/>
            </w14:solidFill>
          </w14:textFill>
        </w:rPr>
        <w:t>4.</w:t>
      </w:r>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4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在过渡期内，甲方因管理处置和维护标的债权而产生的相关费用（包括：</w:t>
      </w:r>
      <w:r>
        <w:rPr>
          <w:rFonts w:hint="eastAsia" w:asciiTheme="minorEastAsia" w:hAnsiTheme="minorEastAsia" w:eastAsiaTheme="minorEastAsia"/>
          <w:b/>
          <w:bCs/>
          <w:color w:val="000000" w:themeColor="text1"/>
          <w:sz w:val="28"/>
          <w:szCs w:val="28"/>
          <w14:textFill>
            <w14:solidFill>
              <w14:schemeClr w14:val="tx1"/>
            </w14:solidFill>
          </w14:textFill>
        </w:rPr>
        <w:t>律师费、诉讼费、评估费、拍卖费等），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14:paraId="7D1512FE">
      <w:pPr>
        <w:snapToGrid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val="0"/>
          <w:bCs w:val="0"/>
          <w:color w:val="000000" w:themeColor="text1"/>
          <w:sz w:val="28"/>
          <w:szCs w:val="28"/>
          <w14:textFill>
            <w14:solidFill>
              <w14:schemeClr w14:val="tx1"/>
            </w14:solidFill>
          </w14:textFill>
        </w:rPr>
        <w:t>4.5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14:paraId="5D184573">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val="0"/>
          <w:bCs w:val="0"/>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14:paraId="143D3560">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14:paraId="1451D5D7">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14:paraId="28F76A53">
      <w:pPr>
        <w:pStyle w:val="25"/>
        <w:spacing w:before="0" w:after="0" w:line="560" w:lineRule="exact"/>
        <w:ind w:right="420" w:rightChars="200" w:firstLine="621" w:firstLineChars="221"/>
        <w:jc w:val="both"/>
        <w:rPr>
          <w:rFonts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14:paraId="6CFF38CA">
      <w:pPr>
        <w:pStyle w:val="25"/>
        <w:spacing w:before="0" w:after="0" w:line="560" w:lineRule="exact"/>
        <w:ind w:right="420" w:rightChars="200" w:firstLine="478" w:firstLineChars="171"/>
        <w:jc w:val="both"/>
        <w:rPr>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交割标的债权的有关债权文件。债权文件交割完毕即为交割完成。</w:t>
      </w:r>
    </w:p>
    <w:p w14:paraId="21837F8A">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14:paraId="5763E7B7">
      <w:pPr>
        <w:pStyle w:val="25"/>
        <w:spacing w:before="0" w:after="0" w:line="560" w:lineRule="exact"/>
        <w:ind w:right="420" w:rightChars="200" w:firstLine="478" w:firstLineChars="171"/>
        <w:jc w:val="both"/>
        <w:rPr>
          <w:rFonts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14:paraId="78E79A3C">
      <w:pPr>
        <w:pStyle w:val="25"/>
        <w:spacing w:before="0" w:after="0" w:line="560" w:lineRule="exact"/>
        <w:ind w:right="420" w:rightChars="200" w:firstLine="0" w:firstLineChars="0"/>
        <w:jc w:val="both"/>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14:paraId="16585420">
      <w:pPr>
        <w:pStyle w:val="25"/>
        <w:spacing w:before="0" w:after="0" w:line="560" w:lineRule="exact"/>
        <w:ind w:right="420" w:rightChars="200" w:firstLine="0" w:firstLineChars="0"/>
        <w:jc w:val="both"/>
        <w:rPr>
          <w:color w:val="000000" w:themeColor="text1"/>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（2）乙方已按照本协议的约定按期足额支付了相应的转让价款。</w:t>
      </w:r>
    </w:p>
    <w:p w14:paraId="7CAB115D">
      <w:pPr>
        <w:pStyle w:val="4"/>
        <w:keepNext w:val="0"/>
        <w:keepLines w:val="0"/>
        <w:widowControl w:val="0"/>
        <w:numPr>
          <w:ilvl w:val="1"/>
          <w:numId w:val="0"/>
        </w:numPr>
        <w:spacing w:after="0"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14:paraId="199D42C6">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5.3.1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日内完成债权文件的交割工作。</w:t>
      </w:r>
    </w:p>
    <w:p w14:paraId="16F783ED">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协商一致的时间进行交割，但该时间最晚不得迟于第5.3.1条约定的期限。如因乙方延迟提交上述文件或者不配合导致交割工作延迟完成的，相关损失和责任由乙方自负。</w:t>
      </w:r>
    </w:p>
    <w:p w14:paraId="5162FF17">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授权代表签署完毕有关债权文件的书面交接文件的时间为准，</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签署的书面交接文件应载明债权文件移交的时间、地点、甲方移交的文件之名称和数量。</w:t>
      </w:r>
    </w:p>
    <w:p w14:paraId="76B8D9C8">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14:paraId="33DEB7B2">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5.6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同意，甲方向乙方交割的债权文件仅限于甲方自原债权人取得的及甲方在对标的债权管理和处置过程中所获得或持有的与标的债权有关的法律文件（甲方不保证持有该等文件的原件），但不包括下列文件：</w:t>
      </w:r>
    </w:p>
    <w:p w14:paraId="13DD6473">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14:paraId="5DCFCDF9">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14:paraId="3B688EE9">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14:paraId="7776C109">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14:paraId="48C888FD">
      <w:pPr>
        <w:spacing w:line="520" w:lineRule="exact"/>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14:paraId="6F6990B8">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14:paraId="7E9BDF4F">
      <w:pPr>
        <w:pStyle w:val="25"/>
        <w:spacing w:before="0" w:after="0" w:line="560" w:lineRule="exact"/>
        <w:ind w:left="-2" w:hanging="2" w:firstLineChars="0"/>
        <w:jc w:val="both"/>
        <w:rPr>
          <w:rFonts w:asciiTheme="minorEastAsia" w:hAnsiTheme="minorEastAsia"/>
          <w:b/>
          <w:bCs/>
          <w:color w:val="000000" w:themeColor="text1"/>
          <w:sz w:val="28"/>
          <w:szCs w:val="28"/>
          <w14:textFill>
            <w14:solidFill>
              <w14:schemeClr w14:val="tx1"/>
            </w14:solidFill>
          </w14:textFill>
        </w:rPr>
      </w:pPr>
      <w:bookmarkStart w:id="19" w:name="_Toc215479816"/>
      <w:bookmarkEnd w:id="19"/>
      <w:bookmarkStart w:id="20" w:name="_Toc215479877"/>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14:paraId="5F9390FC">
      <w:pPr>
        <w:pStyle w:val="25"/>
        <w:spacing w:before="0" w:after="0" w:line="560" w:lineRule="exact"/>
        <w:ind w:left="-2" w:firstLine="562"/>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14:paraId="1406FB60">
      <w:pPr>
        <w:adjustRightInd w:val="0"/>
        <w:snapToGrid w:val="0"/>
        <w:spacing w:line="560" w:lineRule="exact"/>
        <w:ind w:firstLine="560" w:firstLineChars="200"/>
        <w:rPr>
          <w:rFonts w:hint="eastAsia" w:ascii="Times New Roman" w:hAnsi="Times New Roman"/>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highlight w:val="yellow"/>
          <w14:textFill>
            <w14:solidFill>
              <w14:schemeClr w14:val="tx1"/>
            </w14:solidFill>
          </w14:textFill>
        </w:rPr>
        <w:t>[    ]</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w:t>
      </w:r>
      <w:r>
        <w:rPr>
          <w:rFonts w:hint="eastAsia"/>
          <w:color w:val="000000" w:themeColor="text1"/>
          <w:sz w:val="28"/>
          <w:szCs w:val="28"/>
          <w:lang w:val="en-US" w:eastAsia="zh-CN"/>
          <w14:textFill>
            <w14:solidFill>
              <w14:schemeClr w14:val="tx1"/>
            </w14:solidFill>
          </w14:textFill>
        </w:rPr>
        <w:t>债权转让</w:t>
      </w:r>
      <w:r>
        <w:rPr>
          <w:rFonts w:hint="eastAsia"/>
          <w:color w:val="000000" w:themeColor="text1"/>
          <w:sz w:val="28"/>
          <w:szCs w:val="28"/>
          <w14:textFill>
            <w14:solidFill>
              <w14:schemeClr w14:val="tx1"/>
            </w14:solidFill>
          </w14:textFill>
        </w:rPr>
        <w:t>的事实，按照</w:t>
      </w:r>
      <w:r>
        <w:rPr>
          <w:rFonts w:hint="eastAsia"/>
          <w:color w:val="000000" w:themeColor="text1"/>
          <w:sz w:val="28"/>
          <w:szCs w:val="28"/>
          <w:lang w:eastAsia="zh-CN"/>
          <w14:textFill>
            <w14:solidFill>
              <w14:schemeClr w14:val="tx1"/>
            </w14:solidFill>
          </w14:textFill>
        </w:rPr>
        <w:t>如下方式</w:t>
      </w:r>
      <w:r>
        <w:rPr>
          <w:rFonts w:hint="eastAsia"/>
          <w:color w:val="000000" w:themeColor="text1"/>
          <w:sz w:val="28"/>
          <w:szCs w:val="28"/>
          <w14:textFill>
            <w14:solidFill>
              <w14:schemeClr w14:val="tx1"/>
            </w14:solidFill>
          </w14:textFill>
        </w:rPr>
        <w:t>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asciiTheme="minorEastAsia" w:hAnsiTheme="minorEastAsia" w:eastAsiaTheme="minorEastAsia"/>
          <w:snapToGrid w:val="0"/>
          <w:color w:val="000000" w:themeColor="text1"/>
          <w:kern w:val="28"/>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(债权转让与催收通知及回执见附件二)</w:t>
      </w:r>
      <w:r>
        <w:rPr>
          <w:rFonts w:hint="eastAsia" w:ascii="Times New Roman" w:hAnsi="Times New Roman" w:eastAsia="宋体" w:cs="Times New Roman"/>
          <w:color w:val="000000" w:themeColor="text1"/>
          <w:sz w:val="28"/>
          <w:szCs w:val="28"/>
          <w:lang w:eastAsia="zh-CN"/>
          <w14:textFill>
            <w14:solidFill>
              <w14:schemeClr w14:val="tx1"/>
            </w14:solidFill>
          </w14:textFill>
        </w:rPr>
        <w:t>甲方也可以采取报纸公告方式告知义务人。</w:t>
      </w:r>
    </w:p>
    <w:p w14:paraId="3BE4475A">
      <w:pPr>
        <w:pStyle w:val="26"/>
        <w:widowControl w:val="0"/>
        <w:spacing w:line="560" w:lineRule="exact"/>
        <w:ind w:firstLine="560" w:firstLineChars="200"/>
        <w:rPr>
          <w:rFonts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上述送达工作由</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highlight w:val="none"/>
          <w14:textFill>
            <w14:solidFill>
              <w14:schemeClr w14:val="tx1"/>
            </w14:solidFill>
          </w14:textFill>
        </w:rPr>
        <w:t>负责、</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乙</w:t>
      </w:r>
      <w:r>
        <w:rPr>
          <w:rFonts w:hint="eastAsia" w:asciiTheme="minorEastAsia" w:hAnsiTheme="minorEastAsia" w:eastAsiaTheme="minorEastAsia"/>
          <w:color w:val="000000" w:themeColor="text1"/>
          <w:sz w:val="28"/>
          <w:szCs w:val="28"/>
          <w:highlight w:val="none"/>
          <w14:textFill>
            <w14:solidFill>
              <w14:schemeClr w14:val="tx1"/>
            </w14:solidFill>
          </w14:textFill>
        </w:rPr>
        <w:t>方予以配合。</w:t>
      </w:r>
    </w:p>
    <w:p w14:paraId="550E7ED7">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val="0"/>
          <w:bCs w:val="0"/>
          <w:color w:val="000000" w:themeColor="text1"/>
          <w:sz w:val="28"/>
          <w:szCs w:val="28"/>
          <w14:textFill>
            <w14:solidFill>
              <w14:schemeClr w14:val="tx1"/>
            </w14:solidFill>
          </w14:textFill>
        </w:rPr>
        <w:t>6.1</w:t>
      </w:r>
      <w:r>
        <w:rPr>
          <w:rFonts w:asciiTheme="minorEastAsia" w:hAnsiTheme="minorEastAsia" w:eastAsiaTheme="minorEastAsia"/>
          <w:b w:val="0"/>
          <w:bCs w:val="0"/>
          <w:color w:val="000000" w:themeColor="text1"/>
          <w:sz w:val="28"/>
          <w:szCs w:val="28"/>
          <w14:textFill>
            <w14:solidFill>
              <w14:schemeClr w14:val="tx1"/>
            </w14:solidFill>
          </w14:textFill>
        </w:rPr>
        <w:t>.3</w:t>
      </w:r>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14:paraId="42319745">
      <w:pPr>
        <w:pStyle w:val="26"/>
        <w:widowControl w:val="0"/>
        <w:spacing w:line="560" w:lineRule="exact"/>
        <w:ind w:firstLine="560"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之间就债权进行转让的效力。</w:t>
      </w:r>
    </w:p>
    <w:p w14:paraId="5512D84F">
      <w:pPr>
        <w:pStyle w:val="26"/>
        <w:widowControl w:val="0"/>
        <w:spacing w:line="560" w:lineRule="exact"/>
        <w:ind w:firstLine="562"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14:paraId="192E66DC">
      <w:pPr>
        <w:pStyle w:val="26"/>
        <w:widowControl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14:paraId="18B1BB51">
      <w:pPr>
        <w:pStyle w:val="26"/>
        <w:widowControl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14:paraId="358938FD">
      <w:pPr>
        <w:pStyle w:val="26"/>
        <w:widowControl w:val="0"/>
        <w:spacing w:line="560" w:lineRule="exact"/>
        <w:ind w:firstLine="560" w:firstLineChars="200"/>
        <w:rPr>
          <w:rFonts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14:paraId="16444A31">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14:paraId="60A5F7F5">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14:paraId="6A3AA6BE">
      <w:pPr>
        <w:adjustRightInd w:val="0"/>
        <w:snapToGrid w:val="0"/>
        <w:spacing w:line="560" w:lineRule="exact"/>
        <w:ind w:firstLine="565" w:firstLineChars="202"/>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b/>
          <w:bCs/>
          <w:color w:val="000000" w:themeColor="text1"/>
          <w:sz w:val="28"/>
          <w:szCs w:val="28"/>
          <w14:textFill>
            <w14:solidFill>
              <w14:schemeClr w14:val="tx1"/>
            </w14:solidFill>
          </w14:textFill>
        </w:rPr>
        <w:t>另有约定外，</w:t>
      </w:r>
      <w:r>
        <w:rPr>
          <w:rFonts w:asciiTheme="minorEastAsia" w:hAnsiTheme="minorEastAsia" w:eastAsiaTheme="minorEastAsia"/>
          <w:b/>
          <w:bCs/>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b/>
          <w:bCs/>
          <w:color w:val="000000" w:themeColor="text1"/>
          <w:sz w:val="28"/>
          <w:szCs w:val="28"/>
          <w14:textFill>
            <w14:solidFill>
              <w14:schemeClr w14:val="tx1"/>
            </w14:solidFill>
          </w14:textFill>
        </w:rPr>
        <w:t>与相关中介机构签署的服务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等法律文件，承继该等服务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项下的权利和义务并受到该等服务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条款的约束。</w:t>
      </w:r>
    </w:p>
    <w:p w14:paraId="7720077B">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p>
    <w:p w14:paraId="389067E1">
      <w:pPr>
        <w:spacing w:line="560" w:lineRule="exact"/>
        <w:ind w:firstLine="480"/>
        <w:rPr>
          <w:rFonts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14:paraId="4C309DB0">
      <w:pPr>
        <w:spacing w:line="560" w:lineRule="exact"/>
        <w:ind w:firstLine="48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14:paraId="071ACF62">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14:paraId="2F6576AD">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14:paraId="4C564C7F">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14:paraId="79FF2A83">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14:paraId="0EFA5CD9">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14:paraId="0962E2E0">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14:paraId="21FEA3AA">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14:paraId="35FC43CB">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14:paraId="1600E191">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14:paraId="2A4C998F">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14:paraId="12E64D57">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14:paraId="7C3A2F85">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14:paraId="6885A940">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14:paraId="054F53F0">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14:paraId="21E698AA">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14:paraId="0BBB1638">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14:paraId="1C190599">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14:paraId="471FCD1C">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14:paraId="699881C3">
      <w:pPr>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p>
    <w:p w14:paraId="0BDB2E61">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14:paraId="2C648A03">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乙方知悉并确认基准日前破产管理人分配受偿价款</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如有</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归甲方所有；</w:t>
      </w:r>
    </w:p>
    <w:p w14:paraId="18B04F74">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w:t>
      </w:r>
      <w:r>
        <w:rPr>
          <w:rFonts w:hint="eastAsia" w:cs="Times New Roman" w:asciiTheme="minorEastAsia" w:hAnsiTheme="minorEastAsia" w:eastAsiaTheme="minorEastAsia"/>
          <w:b/>
          <w:bCs/>
          <w:color w:val="000000" w:themeColor="text1"/>
          <w:sz w:val="28"/>
          <w:szCs w:val="28"/>
          <w:lang w:eastAsia="zh-CN"/>
          <w14:textFill>
            <w14:solidFill>
              <w14:schemeClr w14:val="tx1"/>
            </w14:solidFill>
          </w14:textFill>
        </w:rPr>
        <w:t xml:space="preserve">；随标的债权一并转让的垫付费用等可能缺少相关票据文件等而不被法院或仲裁机构支持，致使该部分债权无法实现 </w:t>
      </w:r>
      <w:r>
        <w:rPr>
          <w:rFonts w:hint="eastAsia" w:asciiTheme="minorEastAsia" w:hAnsiTheme="minorEastAsia" w:eastAsiaTheme="minorEastAsia"/>
          <w:b/>
          <w:bCs/>
          <w:color w:val="000000" w:themeColor="text1"/>
          <w:sz w:val="28"/>
          <w:szCs w:val="28"/>
          <w14:textFill>
            <w14:solidFill>
              <w14:schemeClr w14:val="tx1"/>
            </w14:solidFill>
          </w14:textFill>
        </w:rPr>
        <w:t>；</w:t>
      </w:r>
    </w:p>
    <w:p w14:paraId="2ADDF856">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14:paraId="0E17ACB6">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14:paraId="7F9829AA">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b/>
          <w:bCs/>
          <w:color w:val="000000" w:themeColor="text1"/>
          <w:sz w:val="28"/>
          <w:szCs w:val="28"/>
          <w14:textFill>
            <w14:solidFill>
              <w14:schemeClr w14:val="tx1"/>
            </w14:solidFill>
          </w14:textFill>
        </w:rPr>
        <w:t>）标的债权及其从权利的其他瑕疵或重大缺陷。</w:t>
      </w:r>
    </w:p>
    <w:p w14:paraId="060AE086">
      <w:pPr>
        <w:spacing w:line="560" w:lineRule="exact"/>
        <w:ind w:firstLine="562" w:firstLineChars="200"/>
        <w:rPr>
          <w:rFonts w:hint="eastAsia" w:asciiTheme="minorEastAsia" w:hAnsiTheme="minorEastAsia" w:eastAsiaTheme="minorEastAsia"/>
          <w:b/>
          <w:bCs/>
          <w:color w:val="000000" w:themeColor="text1"/>
          <w:sz w:val="28"/>
          <w:szCs w:val="28"/>
          <w:highlight w:val="yellow"/>
          <w14:textFill>
            <w14:solidFill>
              <w14:schemeClr w14:val="tx1"/>
            </w14:solidFill>
          </w14:textFill>
        </w:rPr>
      </w:pPr>
      <w:r>
        <w:rPr>
          <w:rFonts w:hint="eastAsia" w:asciiTheme="minorEastAsia" w:hAnsiTheme="minorEastAsia" w:eastAsiaTheme="minorEastAsia"/>
          <w:b/>
          <w:bCs/>
          <w:color w:val="000000" w:themeColor="text1"/>
          <w:sz w:val="28"/>
          <w:szCs w:val="28"/>
          <w:highlight w:val="yellow"/>
          <w14:textFill>
            <w14:solidFill>
              <w14:schemeClr w14:val="tx1"/>
            </w14:solidFill>
          </w14:textFill>
        </w:rPr>
        <w:t>【结合项目实际情况，对项目的其他重大瑕疵及风险进行单独、具体披露，包括但不限于公告中披露的瑕疵及风险。】</w:t>
      </w:r>
    </w:p>
    <w:p w14:paraId="1631934C">
      <w:pPr>
        <w:spacing w:line="560" w:lineRule="exact"/>
        <w:ind w:firstLine="562" w:firstLineChars="200"/>
        <w:rPr>
          <w:rFonts w:hint="eastAsia" w:asciiTheme="minorEastAsia" w:hAnsiTheme="minorEastAsia" w:eastAsiaTheme="minorEastAsia"/>
          <w:b/>
          <w:bCs/>
          <w:color w:val="000000" w:themeColor="text1"/>
          <w:sz w:val="28"/>
          <w:szCs w:val="28"/>
          <w:highlight w:val="yellow"/>
          <w14:textFill>
            <w14:solidFill>
              <w14:schemeClr w14:val="tx1"/>
            </w14:solidFill>
          </w14:textFill>
        </w:rPr>
      </w:pPr>
    </w:p>
    <w:p w14:paraId="4BD9DD26">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14:paraId="2E049F40">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14:paraId="430166EB">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乙方作出前述商业决策前，已对标的债权的情况开展了有关法律及财务方面的尽职调查工作，乙方已向法院及破产管理人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等相关机构</w:t>
      </w:r>
      <w:r>
        <w:rPr>
          <w:rFonts w:hint="eastAsia" w:asciiTheme="minorEastAsia" w:hAnsiTheme="minorEastAsia" w:eastAsiaTheme="minorEastAsia"/>
          <w:color w:val="000000" w:themeColor="text1"/>
          <w:sz w:val="28"/>
          <w:szCs w:val="28"/>
          <w14:textFill>
            <w14:solidFill>
              <w14:schemeClr w14:val="tx1"/>
            </w14:solidFill>
          </w14:textFill>
        </w:rPr>
        <w:t>确认债权现状，乙方开展的尽职调查工作并不依赖于甲方提供的任何与标的债权有关的文件、资料、说明或协助。</w:t>
      </w:r>
    </w:p>
    <w:p w14:paraId="303F5189">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14:paraId="76A4803A">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14:paraId="10AF9D88">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14:paraId="49609895">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14:paraId="451CA7F3">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14:paraId="05441E4B">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14:paraId="2AD677B3">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551" w:firstLineChars="196"/>
        <w:jc w:val="both"/>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14:paraId="7A2C8C3E">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560" w:firstLineChars="200"/>
        <w:jc w:val="both"/>
        <w:textAlignment w:val="auto"/>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14:paraId="6C865AF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乙方承诺具备收购标的债权的受让资格，符合现行法律法规及其他相关规范性文件有关受让资格的规定，包括但不限于：</w:t>
      </w:r>
    </w:p>
    <w:p w14:paraId="18338F9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14:paraId="0EE4B93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（2）并非与参与不良债权转让的金融资产管理公司工作人员、国有企业债务人或者受托资产评估机构负责人等有直系亲属关系的人员；</w:t>
      </w:r>
    </w:p>
    <w:p w14:paraId="04518B7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（3）并非债务企业的控股股东、实际控制人及其控股下属公司，并非担保企业及其控股下属公司，以及并非债务企业的其他关联方；</w:t>
      </w:r>
    </w:p>
    <w:p w14:paraId="3B1B8CB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（4）债务人、担保人为自然人的，并非其本人及其直系亲属；</w:t>
      </w:r>
    </w:p>
    <w:p w14:paraId="660E582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（5）并非上述主体出资成立的法人机构或特殊目的实体；</w:t>
      </w:r>
    </w:p>
    <w:p w14:paraId="200EB90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（6）并非国家金融监督管理总局认定的其他不宜受让的主体;</w:t>
      </w:r>
    </w:p>
    <w:p w14:paraId="10EA9F1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（7）并非依照其他法律、法规、监管规定等规范性文件规定不宜受让标的债权的主体。</w:t>
      </w:r>
    </w:p>
    <w:p w14:paraId="4333CAF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乙方承诺在本协议履行完毕前，乙方及其工作人员持续符合法律、法规、监管规定等规范性文件及本协议约定关于受让方资格的限制。 </w:t>
      </w:r>
    </w:p>
    <w:p w14:paraId="6E183DB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14:paraId="3605B190">
      <w:pPr>
        <w:pStyle w:val="3"/>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14:paraId="197A3071">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14:paraId="266601C0">
      <w:pPr>
        <w:spacing w:line="52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14:paraId="30D24503">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14:paraId="44BEA548">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14:paraId="61B118F7">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14:paraId="09E91A54">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14:paraId="6FBEB0FD">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(担保人）</w:t>
      </w:r>
      <w:r>
        <w:rPr>
          <w:rFonts w:hint="eastAsia" w:asciiTheme="minorEastAsia" w:hAnsiTheme="minorEastAsia" w:eastAsiaTheme="minorEastAsia"/>
          <w:b/>
          <w:bCs/>
          <w:color w:val="000000" w:themeColor="text1"/>
          <w:sz w:val="28"/>
          <w:szCs w:val="28"/>
          <w14:textFill>
            <w14:solidFill>
              <w14:schemeClr w14:val="tx1"/>
            </w14:solidFill>
          </w14:textFill>
        </w:rPr>
        <w:t>的债权过程作出的决策。乙方不可撤销地承诺：如享有标的债权优先购买权的主体行使优先购买权导致本协议被撤销、解除或无效的，甲方无须因此向乙方承担任何的违约责任。如甲方已将标的债权转让给乙方及/或</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b/>
          <w:bCs/>
          <w:color w:val="000000" w:themeColor="text1"/>
          <w:sz w:val="28"/>
          <w:szCs w:val="28"/>
          <w14:textFill>
            <w14:solidFill>
              <w14:schemeClr w14:val="tx1"/>
            </w14:solidFill>
          </w14:textFill>
        </w:rPr>
        <w:t>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14:paraId="682E0ABF">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已知悉甲方须遵守香港联合交易所有限公司关于防范和控制国际制裁风险的要求。相关合同或协议签署后，由于乙方原因导致甲方具有可能遭受制裁的潜在风险时，乙方应及时通知甲方，并采取一切必要措施，确保甲方不会因此遭受制裁；如已造成甲方损失的，乙方应赔偿甲方因制裁产生的损失。</w:t>
      </w:r>
    </w:p>
    <w:p w14:paraId="65901BCF">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14:paraId="0788C980">
      <w:pPr>
        <w:spacing w:line="560" w:lineRule="exact"/>
        <w:ind w:firstLine="573"/>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14:paraId="3D21AAC8">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乙方承诺，甲方在受让标的债权过程中对原债权人所作出的任何声明、承诺等事项在转让后同样对乙方、乙方后手继受方和后续任何其他资产接收方具有约束力，乙方不会因任何原因向甲方及原债权人（含原债权人上级行及分支机构）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14:paraId="292CBB34">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14:paraId="2BFC81E9">
      <w:pPr>
        <w:spacing w:line="560" w:lineRule="exact"/>
        <w:ind w:firstLine="560" w:firstLineChars="2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14:paraId="5DFE8E04">
      <w:pPr>
        <w:spacing w:line="560" w:lineRule="exact"/>
        <w:ind w:firstLine="57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8.2.17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14:paraId="2C148A55">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8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14:paraId="3A7C108A">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9  </w:t>
      </w:r>
      <w:r>
        <w:rPr>
          <w:rFonts w:hint="eastAsia" w:asciiTheme="minorEastAsia" w:hAnsiTheme="minorEastAsia" w:eastAsiaTheme="minorEastAsia"/>
          <w:color w:val="000000" w:themeColor="text1"/>
          <w:sz w:val="28"/>
          <w:szCs w:val="28"/>
          <w14:textFill>
            <w14:solidFill>
              <w14:schemeClr w14:val="tx1"/>
            </w14:solidFill>
          </w14:textFill>
        </w:rPr>
        <w:t>乙方承诺，乙方签署本协议及其他交易文件及根据本协议及其他交易文件履行义务或行使权利，均不会与任何可适用的法律、法规、判决、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决定</w:t>
      </w:r>
      <w:r>
        <w:rPr>
          <w:rFonts w:hint="eastAsia" w:asciiTheme="minorEastAsia" w:hAnsiTheme="minorEastAsia" w:eastAsiaTheme="minorEastAsia"/>
          <w:color w:val="000000" w:themeColor="text1"/>
          <w:sz w:val="28"/>
          <w:szCs w:val="28"/>
          <w14:textFill>
            <w14:solidFill>
              <w14:schemeClr w14:val="tx1"/>
            </w14:solidFill>
          </w14:textFill>
        </w:rPr>
        <w:t xml:space="preserve">、命令、授权或协议冲突或导致对前述的违反，也不会超出对其的任何限制。 </w:t>
      </w:r>
    </w:p>
    <w:p w14:paraId="299D05AE">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8.2.20  乙方承诺，乙方向甲方提供的所有文件、资料、报表和凭证等是真实、准确、完整和有效的，不存在任何误导性陈述、虚假记载或重大遗漏。乙方未隐瞒任何已发生或可能发生的有可能使甲方不同意签署本协议的情况</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14:paraId="75494491">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6C084CBA">
      <w:pPr>
        <w:pStyle w:val="25"/>
        <w:spacing w:before="0" w:after="0" w:line="560" w:lineRule="exact"/>
        <w:ind w:firstLine="0" w:firstLineChars="0"/>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14:paraId="2D3F8860">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14:paraId="4B957D56">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14:paraId="099D24FE">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14:paraId="1D418AAE">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14:paraId="511F5E7F">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14:paraId="05B8642F">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14:paraId="4B1F3ED9">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14:paraId="068C935B">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其他各</w:t>
      </w:r>
      <w:r>
        <w:rPr>
          <w:rFonts w:hint="eastAsia" w:asciiTheme="minorEastAsia" w:hAnsiTheme="minorEastAsia" w:eastAsiaTheme="minorEastAsia"/>
          <w:color w:val="000000" w:themeColor="text1"/>
          <w:sz w:val="28"/>
          <w:szCs w:val="28"/>
          <w14:textFill>
            <w14:solidFill>
              <w14:schemeClr w14:val="tx1"/>
            </w14:solidFill>
          </w14:textFill>
        </w:rPr>
        <w:t>方损失的，违约方还应赔偿守约方的损失，该等损失包括但不限于：守约方实际损失及预期利益、律师费用、诉讼费用、调查取证费用、交通费用等。</w:t>
      </w:r>
    </w:p>
    <w:p w14:paraId="45182326">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如乙方发生任何违约事件，甲方有权宣布本协议项下一切未到期的支付责任提前到期，乙方应在收到甲方通知之日起三个工作日内履行全部提前到期的支付义务。</w:t>
      </w:r>
    </w:p>
    <w:p w14:paraId="1D0614B9">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14:paraId="3F61B766">
      <w:pPr>
        <w:spacing w:line="560" w:lineRule="exact"/>
        <w:ind w:firstLine="560" w:firstLineChars="200"/>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14:paraId="370AFD4D">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14:paraId="1E53554E">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以20%/年按日</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14:paraId="7957DD2A">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9.2.7  如乙方迟延</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日未向甲方足额支付相应款项，甲方有权选择如下一种或几种方式</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要求乙方承担违约责任</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7ADAC536">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cs="Times New Roman" w:asciiTheme="minorEastAsia" w:hAnsiTheme="minorEastAsia" w:eastAsiaTheme="minorEastAsia"/>
          <w:color w:val="000000"/>
          <w:sz w:val="28"/>
          <w:szCs w:val="28"/>
          <w:highlight w:val="none"/>
          <w:lang w:eastAsia="zh-CN"/>
        </w:rPr>
        <w:t>自乙方延期支付之日起3年内，甲方有权</w:t>
      </w:r>
      <w:r>
        <w:rPr>
          <w:rFonts w:hint="eastAsia" w:asciiTheme="minorEastAsia" w:hAnsiTheme="minorEastAsia" w:eastAsiaTheme="minorEastAsia"/>
          <w:color w:val="000000" w:themeColor="text1"/>
          <w:sz w:val="28"/>
          <w:szCs w:val="28"/>
          <w14:textFill>
            <w14:solidFill>
              <w14:schemeClr w14:val="tx1"/>
            </w14:solidFill>
          </w14:textFill>
        </w:rPr>
        <w:t xml:space="preserve">解除本协议，乙方应向甲方支付相应的违约金，违约金数额为转让价款的20％（不含9.2.6条所述违约金）；如违约金数额不足以弥补甲方的实际损失，甲方有权继续向乙方追索。         </w:t>
      </w:r>
    </w:p>
    <w:p w14:paraId="7ED91C1F">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14:paraId="6A989C8A">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14:paraId="6038C374">
      <w:pPr>
        <w:spacing w:line="560" w:lineRule="exact"/>
        <w:ind w:firstLine="560" w:firstLineChars="200"/>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9.2.8  </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各方确认，如乙方违反付款义务，甲方有权根据乙方违约情况，单独或同时要求乙方承担本协议项下部分或全部违约责任。</w:t>
      </w:r>
    </w:p>
    <w:p w14:paraId="1FFFC70E">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9.2.9  </w:t>
      </w:r>
      <w:r>
        <w:rPr>
          <w:rFonts w:hint="eastAsia" w:asciiTheme="minorEastAsia" w:hAnsiTheme="minorEastAsia" w:eastAsiaTheme="minorEastAsia"/>
          <w:color w:val="000000" w:themeColor="text1"/>
          <w:sz w:val="28"/>
          <w:szCs w:val="28"/>
          <w14:textFill>
            <w14:solidFill>
              <w14:schemeClr w14:val="tx1"/>
            </w14:solidFill>
          </w14:textFill>
        </w:rPr>
        <w:t>如果乙方违反本协议约定的声明和保证或其它义务，甲方有权选择：</w:t>
      </w:r>
    </w:p>
    <w:p w14:paraId="07D4B8AF">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14:paraId="2C28FB1A">
      <w:pPr>
        <w:pStyle w:val="9"/>
        <w:spacing w:after="0" w:line="560" w:lineRule="exact"/>
        <w:ind w:left="0" w:leftChars="0"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14:paraId="33FF679F">
      <w:pPr>
        <w:spacing w:line="6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sz w:val="28"/>
          <w:szCs w:val="28"/>
          <w14:textFill>
            <w14:solidFill>
              <w14:schemeClr w14:val="tx1"/>
            </w14:solidFill>
          </w14:textFill>
        </w:rPr>
        <w:t>的，乙方应在甲方向其发出解除通知之日起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5日</w:t>
      </w:r>
      <w:r>
        <w:rPr>
          <w:rFonts w:hint="eastAsia" w:asciiTheme="minorEastAsia" w:hAnsiTheme="minorEastAsia" w:eastAsiaTheme="minorEastAsia"/>
          <w:color w:val="000000" w:themeColor="text1"/>
          <w:sz w:val="28"/>
          <w:szCs w:val="28"/>
          <w14:textFill>
            <w14:solidFill>
              <w14:schemeClr w14:val="tx1"/>
            </w14:solidFill>
          </w14:textFill>
        </w:rPr>
        <w:t>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14:paraId="7FB85229">
      <w:pPr>
        <w:spacing w:line="560" w:lineRule="exact"/>
        <w:ind w:firstLine="548" w:firstLineChars="196"/>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14:paraId="351E80B0">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14:paraId="10795F44">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14:paraId="0A52C9BE">
      <w:pPr>
        <w:spacing w:line="560" w:lineRule="exact"/>
        <w:ind w:firstLine="555"/>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14:paraId="765415EC">
      <w:pPr>
        <w:spacing w:line="560" w:lineRule="exact"/>
        <w:ind w:firstLine="555"/>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14:paraId="75CEA9E0">
      <w:pPr>
        <w:pStyle w:val="26"/>
        <w:widowControl w:val="0"/>
        <w:spacing w:line="520" w:lineRule="exact"/>
        <w:ind w:firstLine="560" w:firstLineChars="200"/>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Cs w:val="0"/>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bCs w:val="0"/>
          <w:color w:val="000000" w:themeColor="text1"/>
          <w:sz w:val="28"/>
          <w:szCs w:val="28"/>
          <w14:textFill>
            <w14:solidFill>
              <w14:schemeClr w14:val="tx1"/>
            </w14:solidFill>
          </w14:textFill>
        </w:rPr>
        <w:t>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14:paraId="547EA867">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14:paraId="127328B3">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一致同意，进一步采取所有合理的努力和防范措施，防止其任何关联公司、雇员或任何其他人员以及雇佣的中介机构和企业获得或未经授权使用或披露上述任何保密信息。</w:t>
      </w:r>
    </w:p>
    <w:p w14:paraId="1E255A41">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14:paraId="5DAAAF48">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一致同意，在签署本协议前</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已签署的保密协议（如有）或乙方出具的保密承诺书均作为本协议的一部分，</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仍应各自继续履行该保密协议或保密承诺书并承担相应的保密责任。</w:t>
      </w:r>
    </w:p>
    <w:p w14:paraId="33881FB1">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14:paraId="2CE19855">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一致同意，不论本协议是否变更、中止、解除、终止，本条约定对</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一直具有约束力，除非：有关保密信息的权利人书面同意</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其他各</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14:paraId="107801DB">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p>
    <w:p w14:paraId="5E62A8A9">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14:paraId="6CF73F64">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14:paraId="09DB9F8D">
      <w:pPr>
        <w:spacing w:line="560" w:lineRule="exact"/>
        <w:rPr>
          <w:rFonts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w:t>
      </w:r>
    </w:p>
    <w:p w14:paraId="5498145D">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14:paraId="31056740">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_________________________________________________________</w:t>
      </w:r>
      <w:r>
        <w:rPr>
          <w:rFonts w:hint="eastAsia" w:ascii="宋体" w:hAnsi="宋体"/>
          <w:color w:val="000000" w:themeColor="text1"/>
          <w:sz w:val="28"/>
          <w:szCs w:val="28"/>
          <w14:textFill>
            <w14:solidFill>
              <w14:schemeClr w14:val="tx1"/>
            </w14:solidFill>
          </w14:textFill>
        </w:rPr>
        <w:t>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2978CEEA">
      <w:pPr>
        <w:spacing w:line="560" w:lineRule="exact"/>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3BC6E382">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14:paraId="1EB05550">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54EA6573">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14:paraId="3528017D">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14:paraId="66065435">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.4  除本协议另有约定外，一方发送的通知在发生下列事件时被视为有效送达：</w:t>
      </w:r>
    </w:p>
    <w:p w14:paraId="633A5E4A">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通过专人递送的，在送达收件人时；</w:t>
      </w:r>
    </w:p>
    <w:p w14:paraId="55DE03A4">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以邮资预付的挂号信或登记邮件形式（要求有查收回执）发送的，在送达邮寄地址时；</w:t>
      </w:r>
    </w:p>
    <w:p w14:paraId="3FDA3DC9">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以电邮方式发送的，在电邮发出时。</w:t>
      </w:r>
    </w:p>
    <w:p w14:paraId="02C9AC77">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 xml:space="preserve">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14:paraId="1B15FA8E">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 xml:space="preserve">  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邮寄送达的文书，由于本协议约定，也视为送达。</w:t>
      </w:r>
    </w:p>
    <w:p w14:paraId="385A9DC1">
      <w:pPr>
        <w:pStyle w:val="2"/>
        <w:rPr>
          <w:rFonts w:hint="eastAsia" w:ascii="宋体" w:hAnsi="宋体"/>
          <w:color w:val="000000" w:themeColor="text1"/>
          <w:sz w:val="28"/>
          <w:szCs w:val="28"/>
          <w14:textFill>
            <w14:solidFill>
              <w14:schemeClr w14:val="tx1"/>
            </w14:solidFill>
          </w14:textFill>
        </w:rPr>
      </w:pPr>
    </w:p>
    <w:p w14:paraId="3F5AED19">
      <w:pPr>
        <w:pStyle w:val="2"/>
        <w:rPr>
          <w:rFonts w:hint="eastAsia"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第十二条</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b/>
          <w:bCs/>
          <w:color w:val="000000" w:themeColor="text1"/>
          <w:sz w:val="28"/>
          <w:szCs w:val="28"/>
          <w14:textFill>
            <w14:solidFill>
              <w14:schemeClr w14:val="tx1"/>
            </w14:solidFill>
          </w14:textFill>
        </w:rPr>
        <w:t>反商业贿赂条款</w:t>
      </w:r>
    </w:p>
    <w:p w14:paraId="3207A870">
      <w:pPr>
        <w:pStyle w:val="2"/>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各方均清楚并愿意严格遵守中华人民共和国反商业贿赂相关法律法规的规定，各方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 xml:space="preserve"> </w:t>
      </w:r>
    </w:p>
    <w:p w14:paraId="5CD09D00">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14:paraId="351C09A8">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b/>
          <w:bCs/>
          <w:color w:val="000000" w:themeColor="text1"/>
          <w:sz w:val="28"/>
          <w:szCs w:val="28"/>
          <w14:textFill>
            <w14:solidFill>
              <w14:schemeClr w14:val="tx1"/>
            </w14:solidFill>
          </w14:textFill>
        </w:rPr>
        <w:t>条 其他</w:t>
      </w:r>
    </w:p>
    <w:p w14:paraId="3C1831B2">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14:paraId="537ECFF1">
      <w:pPr>
        <w:pStyle w:val="25"/>
        <w:spacing w:before="0" w:after="0" w:line="560" w:lineRule="exact"/>
        <w:ind w:firstLine="56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确认本协议构成</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就协议主题事宜达成的最终的、唯一的协议，除以书面方式明确指明优先于本协议的情况外，在此之前的所有约定，无论是口头的，还是书面的，如果与本协议条款和条件存在冲突，以本协议为准。</w:t>
      </w:r>
    </w:p>
    <w:p w14:paraId="14471C7D">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asciiTheme="minorEastAsia" w:hAnsiTheme="minorEastAsia"/>
          <w:color w:val="000000" w:themeColor="text1"/>
          <w:sz w:val="28"/>
          <w:szCs w:val="28"/>
          <w14:textFill>
            <w14:solidFill>
              <w14:schemeClr w14:val="tx1"/>
            </w14:solidFill>
          </w14:textFill>
        </w:rPr>
        <w:t>的权利和义务。</w:t>
      </w:r>
    </w:p>
    <w:p w14:paraId="7270EA18">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应首先通过友好协商解决争议，协商不成的，可向甲方所在地有管辖权的人民法院提起诉讼。</w:t>
      </w:r>
    </w:p>
    <w:p w14:paraId="6BB95850">
      <w:pPr>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.5  </w:t>
      </w:r>
      <w:r>
        <w:rPr>
          <w:rFonts w:hint="eastAsia" w:asciiTheme="minorEastAsia" w:hAnsiTheme="minorEastAsia" w:eastAsiaTheme="minorEastAsia"/>
          <w:color w:val="000000" w:themeColor="text1"/>
          <w:sz w:val="28"/>
          <w:szCs w:val="28"/>
          <w:highlight w:val="yellow"/>
          <w14:textFill>
            <w14:solidFill>
              <w14:schemeClr w14:val="tx1"/>
            </w14:solidFill>
          </w14:textFill>
        </w:rPr>
        <w:t>本协议由</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highlight w:val="yellow"/>
          <w14:textFill>
            <w14:solidFill>
              <w14:schemeClr w14:val="tx1"/>
            </w14:solidFill>
          </w14:textFill>
        </w:rPr>
        <w:t>加盖公章之日起生效。</w:t>
      </w:r>
    </w:p>
    <w:p w14:paraId="7C66A648">
      <w:pPr>
        <w:pStyle w:val="2"/>
        <w:rPr>
          <w:rFonts w:hint="eastAsia"/>
        </w:rPr>
      </w:pPr>
      <w:r>
        <w:rPr>
          <w:rFonts w:hint="eastAsia" w:asciiTheme="minorEastAsia" w:hAnsiTheme="minorEastAsia" w:eastAsiaTheme="minorEastAsia"/>
          <w:color w:val="000000" w:themeColor="text1"/>
          <w:sz w:val="28"/>
          <w:szCs w:val="28"/>
          <w:highlight w:val="yellow"/>
          <w:lang w:bidi="ar"/>
          <w14:textFill>
            <w14:solidFill>
              <w14:schemeClr w14:val="tx1"/>
            </w14:solidFill>
          </w14:textFill>
        </w:rPr>
        <w:t>【提示：若协议签署主体为自然人，协议签署时要求自然人亲笔签名，不可使用名章。】</w:t>
      </w:r>
    </w:p>
    <w:p w14:paraId="51CC39E9">
      <w:pPr>
        <w:pStyle w:val="26"/>
        <w:widowControl w:val="0"/>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bCs w:val="0"/>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负担。</w:t>
      </w:r>
    </w:p>
    <w:p w14:paraId="7DCF20A2">
      <w:pPr>
        <w:pStyle w:val="26"/>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除法律规定或当事人另有约定外，因本协议订立、履行及争议解决发生的费用（包括</w:t>
      </w:r>
      <w:r>
        <w:rPr>
          <w:rFonts w:hint="eastAsia" w:asciiTheme="minorEastAsia" w:hAnsiTheme="minorEastAsia" w:eastAsiaTheme="minorEastAsia" w:cstheme="minorEastAsia"/>
          <w:b/>
          <w:bCs w:val="0"/>
          <w:color w:val="000000" w:themeColor="text1"/>
          <w:sz w:val="28"/>
          <w:szCs w:val="28"/>
          <w:lang w:val="en-US" w:eastAsia="zh-CN"/>
          <w14:textFill>
            <w14:solidFill>
              <w14:schemeClr w14:val="tx1"/>
            </w14:solidFill>
          </w14:textFill>
        </w:rPr>
        <w:t>但不限于</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诉讼、仲裁、保全</w:t>
      </w:r>
      <w:r>
        <w:rPr>
          <w:rFonts w:hint="eastAsia" w:asciiTheme="minorEastAsia" w:hAnsiTheme="minorEastAsia" w:eastAsiaTheme="minorEastAsia" w:cstheme="minorEastAsia"/>
          <w:b/>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律师费用</w:t>
      </w:r>
      <w:r>
        <w:rPr>
          <w:rFonts w:hint="eastAsia" w:asciiTheme="minorEastAsia" w:hAnsiTheme="minorEastAsia" w:eastAsiaTheme="minorEastAsia" w:cstheme="minorEastAsia"/>
          <w:b/>
          <w:bCs w:val="0"/>
          <w:color w:val="000000" w:themeColor="text1"/>
          <w:sz w:val="28"/>
          <w:szCs w:val="28"/>
          <w:lang w:val="en-US" w:eastAsia="zh-CN"/>
          <w14:textFill>
            <w14:solidFill>
              <w14:schemeClr w14:val="tx1"/>
            </w14:solidFill>
          </w14:textFill>
        </w:rPr>
        <w:t>等</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）由</w:t>
      </w:r>
      <w:r>
        <w:rPr>
          <w:rFonts w:hint="eastAsia" w:asciiTheme="minorEastAsia" w:hAnsiTheme="minorEastAsia" w:eastAsiaTheme="minorEastAsia"/>
          <w:b/>
          <w:bCs w:val="0"/>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承担。</w:t>
      </w:r>
    </w:p>
    <w:p w14:paraId="34B1F3CE">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13.8  甲方在本协议项下的权利是累加的，并不影响和排除甲方根据法律和其它协议对乙方所可以享有的任何权利。除非甲方书面表示，甲方对其任何权利的不行使、部分行使和/或延迟行使，均不构成对该权利的放弃或部分放弃，也不影响、阻止和妨碍甲方对该权利的继续行使或对其任何其它权利的行使。也不因此导致甲方对乙方承担义务和责任。</w:t>
      </w:r>
    </w:p>
    <w:p w14:paraId="7A6966F4">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13.9  本协议项下乙方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14:paraId="29DE8DDD">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13.10  在协商、诉讼或仲裁期间，各方应本着诚信原则继续履行本协议不涉及争议的部分。</w:t>
      </w:r>
    </w:p>
    <w:p w14:paraId="5A6650AE">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 xml:space="preserve">13.11  在不影响本协议其他约定的情形下，本协议对各方及各方依法产生的承继人和受让人均具有法律约束力。  </w:t>
      </w:r>
    </w:p>
    <w:p w14:paraId="569B47D9">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13.12  本协议中的标题和业务名称仅为指代的方便而使用，不得用于对条款内容及当事方权利义务的解释。</w:t>
      </w:r>
    </w:p>
    <w:p w14:paraId="6C0A68F3">
      <w:pPr>
        <w:pStyle w:val="26"/>
        <w:spacing w:line="520" w:lineRule="exact"/>
        <w:ind w:firstLine="562"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13.13  本协议为非格式协议，不做不利于任何一方的解释。如需对本协议内容进行解释，应当按照符合本协议项下交易的目的、交易程序、交易背景的原则进行。</w:t>
      </w:r>
    </w:p>
    <w:p w14:paraId="3757CF51">
      <w:pPr>
        <w:pStyle w:val="26"/>
        <w:spacing w:line="520" w:lineRule="exact"/>
        <w:ind w:firstLine="562"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13.14  本协议各条款由各方进行了充分协商，协议各方对协议各条款的内容（包括但不限于免除、减轻或加重各方责任、限制各方权利的条款）已完全知晓和理解，各方对本协议所有条款内容的理解不存在异议。</w:t>
      </w:r>
    </w:p>
    <w:p w14:paraId="69D720AB">
      <w:pPr>
        <w:pStyle w:val="26"/>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13.15  本协议正本一式</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肆</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份，各方各执</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贰</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份，各正本均具同等法律效力。</w:t>
      </w: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 </w:t>
      </w:r>
    </w:p>
    <w:p w14:paraId="46E973AA">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14:paraId="7D39186D">
      <w:pPr>
        <w:widowControl/>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14:paraId="32C007F0">
      <w:pPr>
        <w:spacing w:line="560" w:lineRule="exact"/>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w:t>
      </w:r>
      <w:r>
        <w:rPr>
          <w:rFonts w:hint="eastAsia" w:ascii="宋体" w:hAnsi="宋体"/>
          <w:color w:val="000000" w:themeColor="text1"/>
          <w:sz w:val="28"/>
          <w:szCs w:val="28"/>
          <w14:textFill>
            <w14:solidFill>
              <w14:schemeClr w14:val="tx1"/>
            </w14:solidFill>
          </w14:textFill>
        </w:rPr>
        <w:t>编号为</w:t>
      </w:r>
      <w:r>
        <w:rPr>
          <w:rFonts w:hint="eastAsia" w:ascii="宋体" w:hAnsi="宋体"/>
          <w:bCs/>
          <w:color w:val="000000" w:themeColor="text1"/>
          <w:sz w:val="28"/>
          <w:szCs w:val="28"/>
          <w14:textFill>
            <w14:solidFill>
              <w14:schemeClr w14:val="tx1"/>
            </w14:solidFill>
          </w14:textFill>
        </w:rPr>
        <w:t>[            ]《债权转让协议》的</w:t>
      </w:r>
      <w:r>
        <w:rPr>
          <w:rFonts w:hint="eastAsia" w:asciiTheme="minorEastAsia" w:hAnsiTheme="minorEastAsia" w:eastAsiaTheme="minorEastAsia"/>
          <w:bCs/>
          <w:color w:val="000000" w:themeColor="text1"/>
          <w:sz w:val="28"/>
          <w:szCs w:val="28"/>
          <w14:textFill>
            <w14:solidFill>
              <w14:schemeClr w14:val="tx1"/>
            </w14:solidFill>
          </w14:textFill>
        </w:rPr>
        <w:t>签署页）</w:t>
      </w:r>
    </w:p>
    <w:p w14:paraId="7B990CB1">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14:paraId="31E23D72">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14:paraId="12DF5633">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w:t>
      </w:r>
      <w:r>
        <w:rPr>
          <w:rFonts w:hint="eastAsia" w:asciiTheme="minorEastAsia" w:hAnsiTheme="minorEastAsia" w:eastAsiaTheme="minorEastAsia"/>
          <w:color w:val="000000" w:themeColor="text1"/>
          <w:sz w:val="28"/>
          <w:szCs w:val="28"/>
          <w:lang w:eastAsia="zh-CN"/>
          <w14:textFill>
            <w14:solidFill>
              <w14:schemeClr w14:val="tx1"/>
            </w14:solidFill>
          </w14:textFill>
        </w:rPr>
        <w:t>中信金融</w:t>
      </w:r>
      <w:r>
        <w:rPr>
          <w:rFonts w:hint="eastAsia" w:asciiTheme="minorEastAsia" w:hAnsiTheme="minorEastAsia" w:eastAsiaTheme="minorEastAsia"/>
          <w:color w:val="000000" w:themeColor="text1"/>
          <w:sz w:val="28"/>
          <w:szCs w:val="28"/>
          <w14:textFill>
            <w14:solidFill>
              <w14:schemeClr w14:val="tx1"/>
            </w14:solidFill>
          </w14:textFill>
        </w:rPr>
        <w:t>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山东省</w:t>
      </w:r>
      <w:r>
        <w:rPr>
          <w:rFonts w:hint="eastAsia" w:asciiTheme="minorEastAsia" w:hAnsiTheme="minorEastAsia" w:eastAsiaTheme="minorEastAsia"/>
          <w:color w:val="000000" w:themeColor="text1"/>
          <w:sz w:val="28"/>
          <w:szCs w:val="28"/>
          <w14:textFill>
            <w14:solidFill>
              <w14:schemeClr w14:val="tx1"/>
            </w14:solidFill>
          </w14:textFill>
        </w:rPr>
        <w:t>分公司</w:t>
      </w:r>
    </w:p>
    <w:p w14:paraId="219E2845">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p>
    <w:p w14:paraId="33211247">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3BE089BF">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5975FC15">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42A1AA4D">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3AAD8E0">
      <w:pPr>
        <w:pStyle w:val="6"/>
        <w:spacing w:line="560" w:lineRule="exact"/>
        <w:ind w:firstLine="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0F6FD498">
      <w:pPr>
        <w:pStyle w:val="6"/>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6123957B">
      <w:pPr>
        <w:pStyle w:val="6"/>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5177A5B1">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5" w:name="_Toc100162855"/>
    </w:p>
    <w:p w14:paraId="66AD51FE">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14:paraId="586FF2BA">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14:paraId="5E5BBDCB">
      <w:pPr>
        <w:widowControl/>
        <w:spacing w:line="560" w:lineRule="exac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14:paraId="7E1C36E1">
      <w:pPr>
        <w:pStyle w:val="3"/>
        <w:numPr>
          <w:ilvl w:val="0"/>
          <w:numId w:val="0"/>
        </w:numPr>
        <w:spacing w:before="0" w:after="0" w:line="560" w:lineRule="exact"/>
        <w:jc w:val="both"/>
        <w:rPr>
          <w:rFonts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bookmarkEnd w:id="25"/>
    <w:p w14:paraId="7C1D55D3">
      <w:pPr>
        <w:spacing w:line="560" w:lineRule="exact"/>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标的债权清单</w:t>
      </w:r>
    </w:p>
    <w:p w14:paraId="4873F913">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                             金额单位： 人民币 元</w:t>
      </w:r>
    </w:p>
    <w:tbl>
      <w:tblPr>
        <w:tblStyle w:val="14"/>
        <w:tblW w:w="9778" w:type="dxa"/>
        <w:jc w:val="center"/>
        <w:tblLayout w:type="fixed"/>
        <w:tblCellMar>
          <w:top w:w="15" w:type="dxa"/>
          <w:left w:w="15" w:type="dxa"/>
          <w:bottom w:w="15" w:type="dxa"/>
          <w:right w:w="15" w:type="dxa"/>
        </w:tblCellMar>
      </w:tblPr>
      <w:tblGrid>
        <w:gridCol w:w="729"/>
        <w:gridCol w:w="1748"/>
        <w:gridCol w:w="1522"/>
        <w:gridCol w:w="1048"/>
        <w:gridCol w:w="934"/>
        <w:gridCol w:w="1985"/>
        <w:gridCol w:w="1812"/>
      </w:tblGrid>
      <w:tr w14:paraId="1EE2CDAE">
        <w:tblPrEx>
          <w:tblCellMar>
            <w:top w:w="15" w:type="dxa"/>
            <w:left w:w="15" w:type="dxa"/>
            <w:bottom w:w="15" w:type="dxa"/>
            <w:right w:w="15" w:type="dxa"/>
          </w:tblCellMar>
        </w:tblPrEx>
        <w:trPr>
          <w:trHeight w:val="498" w:hRule="atLeast"/>
          <w:jc w:val="center"/>
        </w:trPr>
        <w:tc>
          <w:tcPr>
            <w:tcW w:w="729" w:type="dxa"/>
            <w:tcBorders>
              <w:top w:val="single" w:color="000000" w:sz="8" w:space="0"/>
              <w:left w:val="single" w:color="000000" w:sz="8" w:space="0"/>
              <w:bottom w:val="nil"/>
              <w:right w:val="single" w:color="000000" w:sz="8" w:space="0"/>
            </w:tcBorders>
            <w:vAlign w:val="center"/>
          </w:tcPr>
          <w:p w14:paraId="1ED33EE0">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
                <w:kern w:val="0"/>
                <w:szCs w:val="21"/>
              </w:rPr>
            </w:pPr>
            <w:r>
              <w:rPr>
                <w:rFonts w:hint="eastAsia" w:ascii="Times New Roman" w:hAnsi="Times New Roman" w:eastAsia="宋体" w:cs="Times New Roman"/>
                <w:b/>
                <w:color w:val="000000"/>
                <w:kern w:val="0"/>
                <w:szCs w:val="21"/>
              </w:rPr>
              <w:t>序号</w:t>
            </w:r>
          </w:p>
        </w:tc>
        <w:tc>
          <w:tcPr>
            <w:tcW w:w="1748" w:type="dxa"/>
            <w:tcBorders>
              <w:top w:val="single" w:color="000000" w:sz="8" w:space="0"/>
              <w:left w:val="nil"/>
              <w:bottom w:val="nil"/>
              <w:right w:val="single" w:color="000000" w:sz="8" w:space="0"/>
            </w:tcBorders>
            <w:vAlign w:val="center"/>
          </w:tcPr>
          <w:p w14:paraId="0C95B3B5">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
                <w:kern w:val="0"/>
                <w:szCs w:val="21"/>
              </w:rPr>
            </w:pPr>
            <w:r>
              <w:rPr>
                <w:rFonts w:hint="eastAsia" w:ascii="宋体" w:hAnsi="宋体" w:eastAsia="宋体" w:cs="宋体"/>
                <w:b/>
                <w:color w:val="000000"/>
                <w:kern w:val="0"/>
                <w:szCs w:val="21"/>
              </w:rPr>
              <w:t>债务人</w:t>
            </w:r>
          </w:p>
        </w:tc>
        <w:tc>
          <w:tcPr>
            <w:tcW w:w="1522" w:type="dxa"/>
            <w:tcBorders>
              <w:top w:val="single" w:color="000000" w:sz="8" w:space="0"/>
              <w:left w:val="nil"/>
              <w:bottom w:val="nil"/>
              <w:right w:val="single" w:color="000000" w:sz="8" w:space="0"/>
            </w:tcBorders>
            <w:vAlign w:val="center"/>
          </w:tcPr>
          <w:p w14:paraId="7CF1BD34">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
                <w:kern w:val="0"/>
                <w:szCs w:val="21"/>
              </w:rPr>
            </w:pPr>
            <w:r>
              <w:rPr>
                <w:rFonts w:hint="eastAsia" w:ascii="宋体" w:hAnsi="宋体" w:eastAsia="宋体" w:cs="宋体"/>
                <w:b/>
                <w:color w:val="000000"/>
                <w:kern w:val="0"/>
                <w:szCs w:val="21"/>
              </w:rPr>
              <w:t>债权本金</w:t>
            </w:r>
          </w:p>
        </w:tc>
        <w:tc>
          <w:tcPr>
            <w:tcW w:w="1048" w:type="dxa"/>
            <w:tcBorders>
              <w:top w:val="single" w:color="000000" w:sz="8" w:space="0"/>
              <w:left w:val="single" w:color="auto" w:sz="4" w:space="0"/>
              <w:bottom w:val="nil"/>
              <w:right w:val="single" w:color="auto" w:sz="4" w:space="0"/>
            </w:tcBorders>
            <w:vAlign w:val="top"/>
          </w:tcPr>
          <w:p w14:paraId="762510A3">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利息</w:t>
            </w:r>
          </w:p>
        </w:tc>
        <w:tc>
          <w:tcPr>
            <w:tcW w:w="934" w:type="dxa"/>
            <w:tcBorders>
              <w:top w:val="single" w:color="000000" w:sz="8" w:space="0"/>
              <w:left w:val="single" w:color="auto" w:sz="4" w:space="0"/>
              <w:bottom w:val="nil"/>
              <w:right w:val="single" w:color="auto" w:sz="4" w:space="0"/>
            </w:tcBorders>
            <w:vAlign w:val="top"/>
          </w:tcPr>
          <w:p w14:paraId="65E99EB6">
            <w:pPr>
              <w:keepNext w:val="0"/>
              <w:keepLines w:val="0"/>
              <w:widowControl/>
              <w:suppressLineNumbers w:val="0"/>
              <w:spacing w:before="0" w:beforeAutospacing="0" w:after="0" w:afterAutospacing="0" w:line="360" w:lineRule="auto"/>
              <w:ind w:left="0" w:right="0" w:firstLine="0" w:firstLineChars="0"/>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其他债权</w:t>
            </w:r>
          </w:p>
        </w:tc>
        <w:tc>
          <w:tcPr>
            <w:tcW w:w="1985" w:type="dxa"/>
            <w:tcBorders>
              <w:top w:val="single" w:color="000000" w:sz="8" w:space="0"/>
              <w:left w:val="single" w:color="auto" w:sz="4" w:space="0"/>
              <w:bottom w:val="nil"/>
              <w:right w:val="single" w:color="000000" w:sz="8" w:space="0"/>
            </w:tcBorders>
            <w:vAlign w:val="center"/>
          </w:tcPr>
          <w:p w14:paraId="522F558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担保人</w:t>
            </w:r>
          </w:p>
        </w:tc>
        <w:tc>
          <w:tcPr>
            <w:tcW w:w="1812" w:type="dxa"/>
            <w:tcBorders>
              <w:top w:val="single" w:color="000000" w:sz="8" w:space="0"/>
              <w:left w:val="nil"/>
              <w:bottom w:val="nil"/>
              <w:right w:val="single" w:color="000000" w:sz="8" w:space="0"/>
            </w:tcBorders>
            <w:vAlign w:val="center"/>
          </w:tcPr>
          <w:p w14:paraId="6A8C716D">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
                <w:kern w:val="0"/>
                <w:szCs w:val="21"/>
              </w:rPr>
            </w:pPr>
            <w:r>
              <w:rPr>
                <w:rFonts w:hint="eastAsia" w:ascii="宋体" w:hAnsi="宋体" w:cs="宋体"/>
                <w:b/>
                <w:color w:val="000000"/>
                <w:kern w:val="0"/>
                <w:szCs w:val="21"/>
                <w:lang w:eastAsia="zh-CN"/>
              </w:rPr>
              <w:t>担保</w:t>
            </w:r>
            <w:r>
              <w:rPr>
                <w:rFonts w:hint="eastAsia" w:ascii="宋体" w:hAnsi="宋体" w:eastAsia="宋体" w:cs="宋体"/>
                <w:b/>
                <w:color w:val="000000"/>
                <w:kern w:val="0"/>
                <w:szCs w:val="21"/>
              </w:rPr>
              <w:t>物</w:t>
            </w:r>
          </w:p>
        </w:tc>
      </w:tr>
      <w:tr w14:paraId="0C674C6A">
        <w:tblPrEx>
          <w:tblCellMar>
            <w:top w:w="15" w:type="dxa"/>
            <w:left w:w="15" w:type="dxa"/>
            <w:bottom w:w="15" w:type="dxa"/>
            <w:right w:w="15" w:type="dxa"/>
          </w:tblCellMar>
        </w:tblPrEx>
        <w:trPr>
          <w:trHeight w:val="554" w:hRule="atLeast"/>
          <w:jc w:val="center"/>
        </w:trPr>
        <w:tc>
          <w:tcPr>
            <w:tcW w:w="729" w:type="dxa"/>
            <w:tcBorders>
              <w:top w:val="single" w:color="000000" w:sz="4" w:space="0"/>
              <w:left w:val="single" w:color="000000" w:sz="8" w:space="0"/>
              <w:bottom w:val="single" w:color="000000" w:sz="4" w:space="0"/>
              <w:right w:val="single" w:color="000000" w:sz="8" w:space="0"/>
            </w:tcBorders>
            <w:vAlign w:val="center"/>
          </w:tcPr>
          <w:p w14:paraId="0C3C95C5">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1</w:t>
            </w:r>
          </w:p>
        </w:tc>
        <w:tc>
          <w:tcPr>
            <w:tcW w:w="1748" w:type="dxa"/>
            <w:tcBorders>
              <w:top w:val="single" w:color="000000" w:sz="4" w:space="0"/>
              <w:left w:val="nil"/>
              <w:bottom w:val="single" w:color="000000" w:sz="4" w:space="0"/>
              <w:right w:val="single" w:color="000000" w:sz="8" w:space="0"/>
            </w:tcBorders>
            <w:vAlign w:val="center"/>
          </w:tcPr>
          <w:p w14:paraId="1E2F47BC">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522" w:type="dxa"/>
            <w:tcBorders>
              <w:top w:val="single" w:color="000000" w:sz="4" w:space="0"/>
              <w:left w:val="nil"/>
              <w:bottom w:val="single" w:color="000000" w:sz="4" w:space="0"/>
              <w:right w:val="single" w:color="000000" w:sz="8" w:space="0"/>
            </w:tcBorders>
            <w:vAlign w:val="center"/>
          </w:tcPr>
          <w:p w14:paraId="028CECF7">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048" w:type="dxa"/>
            <w:tcBorders>
              <w:top w:val="single" w:color="000000" w:sz="4" w:space="0"/>
              <w:left w:val="single" w:color="auto" w:sz="4" w:space="0"/>
              <w:bottom w:val="single" w:color="000000" w:sz="4" w:space="0"/>
              <w:right w:val="single" w:color="auto" w:sz="4" w:space="0"/>
            </w:tcBorders>
            <w:vAlign w:val="top"/>
          </w:tcPr>
          <w:p w14:paraId="67EE00A4">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934" w:type="dxa"/>
            <w:tcBorders>
              <w:top w:val="single" w:color="000000" w:sz="4" w:space="0"/>
              <w:left w:val="single" w:color="auto" w:sz="4" w:space="0"/>
              <w:bottom w:val="single" w:color="000000" w:sz="4" w:space="0"/>
              <w:right w:val="single" w:color="auto" w:sz="4" w:space="0"/>
            </w:tcBorders>
            <w:vAlign w:val="top"/>
          </w:tcPr>
          <w:p w14:paraId="7121F386">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985" w:type="dxa"/>
            <w:tcBorders>
              <w:top w:val="single" w:color="000000" w:sz="4" w:space="0"/>
              <w:left w:val="single" w:color="auto" w:sz="4" w:space="0"/>
              <w:bottom w:val="single" w:color="000000" w:sz="4" w:space="0"/>
              <w:right w:val="single" w:color="000000" w:sz="8" w:space="0"/>
            </w:tcBorders>
            <w:vAlign w:val="center"/>
          </w:tcPr>
          <w:p w14:paraId="5166FE84">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 xml:space="preserve"> </w:t>
            </w:r>
          </w:p>
        </w:tc>
        <w:tc>
          <w:tcPr>
            <w:tcW w:w="1812" w:type="dxa"/>
            <w:tcBorders>
              <w:top w:val="single" w:color="000000" w:sz="4" w:space="0"/>
              <w:left w:val="nil"/>
              <w:bottom w:val="single" w:color="000000" w:sz="4" w:space="0"/>
              <w:right w:val="single" w:color="000000" w:sz="8" w:space="0"/>
            </w:tcBorders>
            <w:vAlign w:val="center"/>
          </w:tcPr>
          <w:p w14:paraId="716BD8F6">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r>
      <w:tr w14:paraId="09697617">
        <w:tblPrEx>
          <w:tblCellMar>
            <w:top w:w="15" w:type="dxa"/>
            <w:left w:w="15" w:type="dxa"/>
            <w:bottom w:w="15" w:type="dxa"/>
            <w:right w:w="15" w:type="dxa"/>
          </w:tblCellMar>
        </w:tblPrEx>
        <w:trPr>
          <w:trHeight w:val="554" w:hRule="atLeast"/>
          <w:jc w:val="center"/>
        </w:trPr>
        <w:tc>
          <w:tcPr>
            <w:tcW w:w="729" w:type="dxa"/>
            <w:tcBorders>
              <w:top w:val="single" w:color="000000" w:sz="4" w:space="0"/>
              <w:left w:val="single" w:color="000000" w:sz="8" w:space="0"/>
              <w:bottom w:val="single" w:color="000000" w:sz="8" w:space="0"/>
              <w:right w:val="single" w:color="000000" w:sz="8" w:space="0"/>
            </w:tcBorders>
            <w:vAlign w:val="center"/>
          </w:tcPr>
          <w:p w14:paraId="14192C26">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2</w:t>
            </w:r>
          </w:p>
        </w:tc>
        <w:tc>
          <w:tcPr>
            <w:tcW w:w="1748" w:type="dxa"/>
            <w:tcBorders>
              <w:top w:val="single" w:color="000000" w:sz="4" w:space="0"/>
              <w:left w:val="nil"/>
              <w:bottom w:val="single" w:color="000000" w:sz="8" w:space="0"/>
              <w:right w:val="single" w:color="000000" w:sz="8" w:space="0"/>
            </w:tcBorders>
            <w:vAlign w:val="center"/>
          </w:tcPr>
          <w:p w14:paraId="312037B8">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522" w:type="dxa"/>
            <w:tcBorders>
              <w:top w:val="single" w:color="000000" w:sz="4" w:space="0"/>
              <w:left w:val="nil"/>
              <w:bottom w:val="single" w:color="000000" w:sz="8" w:space="0"/>
              <w:right w:val="single" w:color="000000" w:sz="8" w:space="0"/>
            </w:tcBorders>
            <w:vAlign w:val="center"/>
          </w:tcPr>
          <w:p w14:paraId="4D435F4A">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048" w:type="dxa"/>
            <w:tcBorders>
              <w:top w:val="single" w:color="000000" w:sz="4" w:space="0"/>
              <w:left w:val="single" w:color="auto" w:sz="4" w:space="0"/>
              <w:bottom w:val="single" w:color="000000" w:sz="8" w:space="0"/>
              <w:right w:val="single" w:color="auto" w:sz="4" w:space="0"/>
            </w:tcBorders>
            <w:vAlign w:val="top"/>
          </w:tcPr>
          <w:p w14:paraId="10057347">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934" w:type="dxa"/>
            <w:tcBorders>
              <w:top w:val="single" w:color="000000" w:sz="4" w:space="0"/>
              <w:left w:val="single" w:color="auto" w:sz="4" w:space="0"/>
              <w:bottom w:val="single" w:color="000000" w:sz="8" w:space="0"/>
              <w:right w:val="single" w:color="auto" w:sz="4" w:space="0"/>
            </w:tcBorders>
            <w:vAlign w:val="top"/>
          </w:tcPr>
          <w:p w14:paraId="73B67AF9">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985" w:type="dxa"/>
            <w:tcBorders>
              <w:top w:val="single" w:color="000000" w:sz="4" w:space="0"/>
              <w:left w:val="single" w:color="auto" w:sz="4" w:space="0"/>
              <w:bottom w:val="single" w:color="000000" w:sz="8" w:space="0"/>
              <w:right w:val="single" w:color="000000" w:sz="8" w:space="0"/>
            </w:tcBorders>
            <w:vAlign w:val="center"/>
          </w:tcPr>
          <w:p w14:paraId="0C8CAAA0">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 xml:space="preserve"> </w:t>
            </w:r>
          </w:p>
        </w:tc>
        <w:tc>
          <w:tcPr>
            <w:tcW w:w="1812" w:type="dxa"/>
            <w:tcBorders>
              <w:top w:val="single" w:color="000000" w:sz="4" w:space="0"/>
              <w:left w:val="nil"/>
              <w:bottom w:val="single" w:color="000000" w:sz="8" w:space="0"/>
              <w:right w:val="single" w:color="000000" w:sz="8" w:space="0"/>
            </w:tcBorders>
            <w:vAlign w:val="center"/>
          </w:tcPr>
          <w:p w14:paraId="4AA38DB6">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r>
    </w:tbl>
    <w:p w14:paraId="3F5DB41D">
      <w:pPr>
        <w:pStyle w:val="26"/>
        <w:tabs>
          <w:tab w:val="left" w:pos="4680"/>
        </w:tabs>
        <w:spacing w:line="400" w:lineRule="exact"/>
        <w:rPr>
          <w:rFonts w:ascii="宋体" w:hAnsi="宋体"/>
          <w:bCs/>
          <w:color w:val="000000" w:themeColor="text1"/>
          <w:szCs w:val="24"/>
          <w14:textFill>
            <w14:solidFill>
              <w14:schemeClr w14:val="tx1"/>
            </w14:solidFill>
          </w14:textFill>
        </w:rPr>
      </w:pPr>
    </w:p>
    <w:p w14:paraId="666A5A84">
      <w:pPr>
        <w:widowControl/>
        <w:spacing w:line="360" w:lineRule="auto"/>
        <w:ind w:firstLine="480" w:firstLineChars="200"/>
        <w:jc w:val="left"/>
        <w:rPr>
          <w:rFonts w:ascii="宋体" w:hAnsi="宋体" w:cs="宋体"/>
          <w:kern w:val="0"/>
          <w:sz w:val="24"/>
          <w:szCs w:val="24"/>
        </w:rPr>
      </w:pPr>
      <w:r>
        <w:rPr>
          <w:rFonts w:hint="eastAsia" w:ascii="宋体" w:hAnsi="宋体"/>
          <w:bCs/>
          <w:color w:val="000000" w:themeColor="text1"/>
          <w:sz w:val="24"/>
          <w:szCs w:val="24"/>
          <w14:textFill>
            <w14:solidFill>
              <w14:schemeClr w14:val="tx1"/>
            </w14:solidFill>
          </w14:textFill>
        </w:rPr>
        <w:t>注</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本清单列示截至基准日的债权本金、利息余额</w:t>
      </w:r>
      <w:r>
        <w:rPr>
          <w:rFonts w:hint="eastAsia" w:ascii="宋体" w:hAnsi="宋体" w:cs="宋体"/>
          <w:kern w:val="0"/>
          <w:sz w:val="24"/>
          <w:szCs w:val="24"/>
          <w:lang w:val="en-US" w:eastAsia="zh-CN"/>
        </w:rPr>
        <w:t>及其他债权</w:t>
      </w:r>
      <w:r>
        <w:rPr>
          <w:rFonts w:hint="eastAsia" w:ascii="宋体" w:hAnsi="宋体" w:cs="宋体"/>
          <w:kern w:val="0"/>
          <w:sz w:val="24"/>
          <w:szCs w:val="24"/>
        </w:rPr>
        <w:t>，基准日后债务人和担保人应支付的利息、违约金、相关费用等按照相关合同协议、生效法律文书及法律法规的规定计算。上述债权及其项下权利义务一并转让。</w:t>
      </w:r>
    </w:p>
    <w:p w14:paraId="3F2C554A">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若债务人、担保人因各种原因更名、改制、歇业、吊销营业执照或丧失民事主体资格的，请相关承债主体及/或主管部门代为履行义务或履行清算责任。</w:t>
      </w:r>
    </w:p>
    <w:p w14:paraId="1300ECF7">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清单中的“担保人”包括保证人、抵押人、出质人。</w:t>
      </w:r>
    </w:p>
    <w:p w14:paraId="0A05C1D8">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w:t>
      </w:r>
      <w:r>
        <w:rPr>
          <w:rFonts w:hint="eastAsia" w:ascii="宋体" w:hAnsi="宋体" w:cs="宋体"/>
          <w:kern w:val="0"/>
          <w:sz w:val="24"/>
          <w:szCs w:val="24"/>
        </w:rPr>
        <w:t>如清单中债务人、债权金额、担保人等信息与事实不符的，以相关合同、生效法律文书等为准。</w:t>
      </w:r>
    </w:p>
    <w:p w14:paraId="6557D893">
      <w:pPr>
        <w:pStyle w:val="26"/>
        <w:widowControl w:val="0"/>
        <w:tabs>
          <w:tab w:val="left" w:pos="4680"/>
        </w:tabs>
        <w:spacing w:line="560" w:lineRule="exact"/>
        <w:rPr>
          <w:rFonts w:ascii="宋体" w:hAnsi="宋体"/>
          <w:bCs/>
          <w:color w:val="000000" w:themeColor="text1"/>
          <w:sz w:val="28"/>
          <w:szCs w:val="28"/>
          <w14:textFill>
            <w14:solidFill>
              <w14:schemeClr w14:val="tx1"/>
            </w14:solidFill>
          </w14:textFill>
        </w:rPr>
      </w:pPr>
    </w:p>
    <w:p w14:paraId="00BF6B72">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1CFC69BB">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4A4D4200">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28D59897">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48BB8289">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5EE51324">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6749778A">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5528E3C5">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27374086">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31591B45">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42CACD8F">
      <w:pPr>
        <w:pStyle w:val="3"/>
        <w:numPr>
          <w:ilvl w:val="0"/>
          <w:numId w:val="0"/>
        </w:numPr>
        <w:jc w:val="left"/>
        <w:rPr>
          <w:rFonts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6" w:name="_Toc340744028"/>
      <w:bookmarkStart w:id="27" w:name="_Toc420939166"/>
      <w:bookmarkStart w:id="28" w:name="_Toc232937585"/>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val="en-US"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6"/>
      <w:bookmarkEnd w:id="27"/>
      <w:bookmarkEnd w:id="28"/>
    </w:p>
    <w:p w14:paraId="43933040">
      <w:pPr>
        <w:pStyle w:val="32"/>
        <w:spacing w:after="240" w:line="400" w:lineRule="exact"/>
        <w:jc w:val="both"/>
        <w:rPr>
          <w:rFonts w:asciiTheme="minorEastAsia" w:hAnsiTheme="minorEastAsia" w:eastAsiaTheme="minorEastAsia"/>
          <w:color w:val="000000" w:themeColor="text1"/>
          <w14:textFill>
            <w14:solidFill>
              <w14:schemeClr w14:val="tx1"/>
            </w14:solidFill>
          </w14:textFill>
        </w:rPr>
      </w:pPr>
    </w:p>
    <w:p w14:paraId="6D0D56B7">
      <w:pPr>
        <w:pStyle w:val="32"/>
        <w:spacing w:after="240" w:line="400" w:lineRule="exact"/>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14:paraId="5D241334">
      <w:pPr>
        <w:spacing w:after="240" w:line="400" w:lineRule="exact"/>
        <w:ind w:right="17"/>
        <w:jc w:val="righ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14:paraId="7B189938">
      <w:pPr>
        <w:spacing w:after="240" w:line="400" w:lineRule="exac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14:paraId="30FD7FEE">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lang w:eastAsia="zh-CN"/>
          <w14:textFill>
            <w14:solidFill>
              <w14:schemeClr w14:val="tx1"/>
            </w14:solidFill>
          </w14:textFill>
        </w:rPr>
        <w:t>中信金融</w:t>
      </w:r>
      <w:r>
        <w:rPr>
          <w:rFonts w:asciiTheme="minorEastAsia" w:hAnsiTheme="minorEastAsia" w:eastAsiaTheme="minorEastAsia"/>
          <w:color w:val="000000" w:themeColor="text1"/>
          <w:sz w:val="24"/>
          <w14:textFill>
            <w14:solidFill>
              <w14:schemeClr w14:val="tx1"/>
            </w14:solidFill>
          </w14:textFill>
        </w:rPr>
        <w:t>资产管理股份有限公司_____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lang w:val="en-US" w:eastAsia="zh-CN"/>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14:paraId="2467EA10">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lang w:val="en-US" w:eastAsia="zh-CN"/>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14:paraId="3821C5F0">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4"/>
        <w:tblW w:w="9456" w:type="dxa"/>
        <w:tblInd w:w="0" w:type="dxa"/>
        <w:tblLayout w:type="fixed"/>
        <w:tblCellMar>
          <w:top w:w="0" w:type="dxa"/>
          <w:left w:w="108" w:type="dxa"/>
          <w:bottom w:w="0" w:type="dxa"/>
          <w:right w:w="108" w:type="dxa"/>
        </w:tblCellMar>
      </w:tblPr>
      <w:tblGrid>
        <w:gridCol w:w="5211"/>
        <w:gridCol w:w="4245"/>
      </w:tblGrid>
      <w:tr w14:paraId="718D77A6">
        <w:tblPrEx>
          <w:tblCellMar>
            <w:top w:w="0" w:type="dxa"/>
            <w:left w:w="108" w:type="dxa"/>
            <w:bottom w:w="0" w:type="dxa"/>
            <w:right w:w="108" w:type="dxa"/>
          </w:tblCellMar>
        </w:tblPrEx>
        <w:tc>
          <w:tcPr>
            <w:tcW w:w="5211" w:type="dxa"/>
            <w:vAlign w:val="center"/>
          </w:tcPr>
          <w:p w14:paraId="530DCC5C">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转让方：中国</w:t>
            </w:r>
            <w:r>
              <w:rPr>
                <w:rFonts w:hint="eastAsia" w:asciiTheme="minorEastAsia" w:hAnsiTheme="minorEastAsia" w:eastAsiaTheme="minorEastAsia"/>
                <w:color w:val="000000" w:themeColor="text1"/>
                <w:sz w:val="24"/>
                <w:szCs w:val="20"/>
                <w:lang w:eastAsia="zh-CN"/>
                <w14:textFill>
                  <w14:solidFill>
                    <w14:schemeClr w14:val="tx1"/>
                  </w14:solidFill>
                </w14:textFill>
              </w:rPr>
              <w:t>中信金融</w:t>
            </w:r>
            <w:r>
              <w:rPr>
                <w:rFonts w:hint="eastAsia" w:asciiTheme="minorEastAsia" w:hAnsiTheme="minorEastAsia" w:eastAsiaTheme="minorEastAsia"/>
                <w:color w:val="000000" w:themeColor="text1"/>
                <w:sz w:val="24"/>
                <w:szCs w:val="20"/>
                <w14:textFill>
                  <w14:solidFill>
                    <w14:schemeClr w14:val="tx1"/>
                  </w14:solidFill>
                </w14:textFill>
              </w:rPr>
              <w:t>资产管理股份有限公司</w:t>
            </w:r>
          </w:p>
          <w:p w14:paraId="627674BF">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_____分公司（盖章）</w:t>
            </w:r>
          </w:p>
          <w:p w14:paraId="0BEDB600">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14:paraId="064F55F8">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14:paraId="4294FF3D">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受让方：</w:t>
            </w:r>
          </w:p>
          <w:p w14:paraId="5CC2BFBD">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（盖章）</w:t>
            </w:r>
          </w:p>
          <w:p w14:paraId="6BFD6987">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14:paraId="04FD6130">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r>
      <w:tr w14:paraId="237CBEF2">
        <w:tblPrEx>
          <w:tblCellMar>
            <w:top w:w="0" w:type="dxa"/>
            <w:left w:w="108" w:type="dxa"/>
            <w:bottom w:w="0" w:type="dxa"/>
            <w:right w:w="108" w:type="dxa"/>
          </w:tblCellMar>
        </w:tblPrEx>
        <w:tc>
          <w:tcPr>
            <w:tcW w:w="5211" w:type="dxa"/>
            <w:vAlign w:val="center"/>
          </w:tcPr>
          <w:p w14:paraId="35FBCF5F">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负责人/授权代理人：</w:t>
            </w:r>
          </w:p>
          <w:p w14:paraId="1612B1DD">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14:paraId="64741B4B">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14:paraId="071459AC">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法定代表人/负责人/授权代理人：</w:t>
            </w:r>
          </w:p>
          <w:p w14:paraId="2D74A877">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14:paraId="139C9E2E">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tr w14:paraId="175AD404">
        <w:tblPrEx>
          <w:tblCellMar>
            <w:top w:w="0" w:type="dxa"/>
            <w:left w:w="108" w:type="dxa"/>
            <w:bottom w:w="0" w:type="dxa"/>
            <w:right w:w="108" w:type="dxa"/>
          </w:tblCellMar>
        </w:tblPrEx>
        <w:tc>
          <w:tcPr>
            <w:tcW w:w="5211" w:type="dxa"/>
            <w:vAlign w:val="center"/>
          </w:tcPr>
          <w:p w14:paraId="7CFB8D35">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c>
          <w:tcPr>
            <w:tcW w:w="4245" w:type="dxa"/>
            <w:vAlign w:val="center"/>
          </w:tcPr>
          <w:p w14:paraId="10D5DC22">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r>
      <w:tr w14:paraId="3A6C0CE3">
        <w:tblPrEx>
          <w:tblCellMar>
            <w:top w:w="0" w:type="dxa"/>
            <w:left w:w="108" w:type="dxa"/>
            <w:bottom w:w="0" w:type="dxa"/>
            <w:right w:w="108" w:type="dxa"/>
          </w:tblCellMar>
        </w:tblPrEx>
        <w:tc>
          <w:tcPr>
            <w:tcW w:w="5211" w:type="dxa"/>
            <w:vAlign w:val="center"/>
          </w:tcPr>
          <w:p w14:paraId="282EBC79">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c>
          <w:tcPr>
            <w:tcW w:w="4245" w:type="dxa"/>
            <w:vAlign w:val="center"/>
          </w:tcPr>
          <w:p w14:paraId="04537B8B">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r>
    </w:tbl>
    <w:p w14:paraId="462102F0">
      <w:pPr>
        <w:pStyle w:val="32"/>
        <w:spacing w:after="240" w:line="400" w:lineRule="exact"/>
        <w:jc w:val="right"/>
        <w:rPr>
          <w:rFonts w:asciiTheme="minorEastAsia" w:hAnsiTheme="minorEastAsia" w:eastAsiaTheme="minorEastAsia"/>
          <w:b/>
          <w:color w:val="000000" w:themeColor="text1"/>
          <w14:textFill>
            <w14:solidFill>
              <w14:schemeClr w14:val="tx1"/>
            </w14:solidFill>
          </w14:textFill>
        </w:rPr>
      </w:pPr>
      <w:bookmarkStart w:id="29" w:name="_Toc340744029"/>
      <w:bookmarkStart w:id="30" w:name="_Toc341252069"/>
      <w:r>
        <w:rPr>
          <w:rFonts w:asciiTheme="minorEastAsia" w:hAnsiTheme="minorEastAsia" w:eastAsiaTheme="minorEastAsia"/>
          <w:b/>
          <w:color w:val="000000" w:themeColor="text1"/>
          <w:szCs w:val="24"/>
          <w14:textFill>
            <w14:solidFill>
              <w14:schemeClr w14:val="tx1"/>
            </w14:solidFill>
          </w14:textFill>
        </w:rPr>
        <w:t>日期：____年____月____日</w:t>
      </w:r>
      <w:bookmarkEnd w:id="29"/>
      <w:bookmarkEnd w:id="30"/>
    </w:p>
    <w:p w14:paraId="368AFFBD">
      <w:pPr>
        <w:spacing w:after="240" w:line="400" w:lineRule="exact"/>
        <w:jc w:val="center"/>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14:paraId="28BF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BA2D82C">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14:paraId="77C04FE3">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名称、编号（或</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签订时间）</w:t>
            </w:r>
          </w:p>
        </w:tc>
        <w:tc>
          <w:tcPr>
            <w:tcW w:w="2126" w:type="dxa"/>
            <w:vAlign w:val="center"/>
          </w:tcPr>
          <w:p w14:paraId="1B1043E5">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14:paraId="5FC4C0FB">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名称、编号（或</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签订时间</w:t>
            </w:r>
          </w:p>
        </w:tc>
      </w:tr>
      <w:tr w14:paraId="5384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4D70DCF">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14:paraId="4C761827">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41411408">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061A7F81">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14:paraId="5479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AB0C6C7">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14:paraId="66CE3AC3">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78111E79">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01347B6B">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14:paraId="2E8A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55DE1BE">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14:paraId="536F35DB">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400B8B13">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20293061">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14:paraId="0BAF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3336C37">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14:paraId="7E6F61E0">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5B955FAF">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0DC140A5">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14:paraId="0FA7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1236B30">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14:paraId="08C22687">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566A33A5">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649287E5">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14:paraId="7191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5468CF9">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14:paraId="1F4B1B61">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0F7F057F">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14:paraId="7A643F19">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bl>
    <w:p w14:paraId="72C8AC4B">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14:paraId="4F11EDF4">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lang w:eastAsia="zh-CN"/>
          <w14:textFill>
            <w14:solidFill>
              <w14:schemeClr w14:val="tx1"/>
            </w14:solidFill>
          </w14:textFill>
        </w:rPr>
        <w:t>中信金融</w:t>
      </w:r>
      <w:r>
        <w:rPr>
          <w:rFonts w:asciiTheme="minorEastAsia" w:hAnsiTheme="minorEastAsia" w:eastAsiaTheme="minorEastAsia"/>
          <w:color w:val="000000" w:themeColor="text1"/>
          <w:szCs w:val="21"/>
          <w14:textFill>
            <w14:solidFill>
              <w14:schemeClr w14:val="tx1"/>
            </w14:solidFill>
          </w14:textFill>
        </w:rPr>
        <w:t>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14:paraId="743FB0C0">
      <w:pPr>
        <w:spacing w:before="80" w:after="80" w:line="360" w:lineRule="auto"/>
        <w:ind w:firstLine="3717" w:firstLineChars="177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14:paraId="42B5C2CE">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14:paraId="48D2DA03">
      <w:pPr>
        <w:spacing w:before="80" w:after="80" w:line="360" w:lineRule="auto"/>
        <w:ind w:firstLine="645"/>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14:paraId="0B6669F7">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14:paraId="1D09E6C9">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lang w:eastAsia="zh-CN"/>
          <w14:textFill>
            <w14:solidFill>
              <w14:schemeClr w14:val="tx1"/>
            </w14:solidFill>
          </w14:textFill>
        </w:rPr>
        <w:t>中信金融</w:t>
      </w:r>
      <w:r>
        <w:rPr>
          <w:rFonts w:asciiTheme="minorEastAsia" w:hAnsiTheme="minorEastAsia" w:eastAsiaTheme="minorEastAsia"/>
          <w:color w:val="000000" w:themeColor="text1"/>
          <w:szCs w:val="21"/>
          <w14:textFill>
            <w14:solidFill>
              <w14:schemeClr w14:val="tx1"/>
            </w14:solidFill>
          </w14:textFill>
        </w:rPr>
        <w:t>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14:paraId="365177EC">
      <w:pPr>
        <w:spacing w:before="80" w:after="80" w:line="360" w:lineRule="auto"/>
        <w:ind w:left="-178" w:leftChars="-85" w:right="-153" w:rightChars="-73" w:firstLine="4004" w:firstLineChars="1907"/>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14:paraId="12A77FFD">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14:paraId="4C74E54C">
      <w:pPr>
        <w:spacing w:line="560" w:lineRule="exact"/>
        <w:rPr>
          <w:rFonts w:asciiTheme="minorEastAsia" w:hAnsiTheme="minorEastAsia" w:eastAsiaTheme="minorEastAsia"/>
          <w:color w:val="000000" w:themeColor="text1"/>
          <w:sz w:val="24"/>
          <w:szCs w:val="24"/>
          <w14:textFill>
            <w14:solidFill>
              <w14:schemeClr w14:val="tx1"/>
            </w14:solidFill>
          </w14:textFill>
        </w:rPr>
      </w:pPr>
    </w:p>
    <w:p w14:paraId="078D3F00">
      <w:pP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14:paraId="293EACE1">
      <w:pPr>
        <w:pStyle w:val="26"/>
        <w:widowControl w:val="0"/>
        <w:tabs>
          <w:tab w:val="left" w:pos="4680"/>
        </w:tabs>
        <w:spacing w:line="560" w:lineRule="exact"/>
        <w:outlineLvl w:val="0"/>
        <w:rPr>
          <w:rFonts w:hint="eastAsia" w:ascii="宋体" w:hAnsi="宋体"/>
          <w:b/>
          <w:color w:val="000000" w:themeColor="text1"/>
          <w:sz w:val="28"/>
          <w:szCs w:val="28"/>
          <w14:textFill>
            <w14:solidFill>
              <w14:schemeClr w14:val="tx1"/>
            </w14:solidFill>
          </w14:textFill>
        </w:rPr>
      </w:pPr>
      <w:bookmarkStart w:id="31" w:name="_Toc232937586"/>
      <w:bookmarkStart w:id="32" w:name="_Toc340744030"/>
      <w:bookmarkStart w:id="33" w:name="_Toc420939167"/>
      <w:r>
        <w:rPr>
          <w:rFonts w:ascii="宋体" w:hAnsi="宋体"/>
          <w:b/>
          <w:color w:val="000000" w:themeColor="text1"/>
          <w:sz w:val="28"/>
          <w:szCs w:val="28"/>
          <w14:textFill>
            <w14:solidFill>
              <w14:schemeClr w14:val="tx1"/>
            </w14:solidFill>
          </w14:textFill>
        </w:rPr>
        <w:t>附件</w:t>
      </w:r>
      <w:r>
        <w:rPr>
          <w:rFonts w:hint="eastAsia" w:ascii="宋体" w:hAnsi="宋体"/>
          <w:b/>
          <w:color w:val="000000" w:themeColor="text1"/>
          <w:sz w:val="28"/>
          <w:szCs w:val="28"/>
          <w14:textFill>
            <w14:solidFill>
              <w14:schemeClr w14:val="tx1"/>
            </w14:solidFill>
          </w14:textFill>
        </w:rPr>
        <w:t>三</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分户债权</w:t>
      </w:r>
      <w:r>
        <w:rPr>
          <w:rFonts w:ascii="宋体" w:hAnsi="宋体"/>
          <w:b/>
          <w:color w:val="000000" w:themeColor="text1"/>
          <w:sz w:val="28"/>
          <w:szCs w:val="28"/>
          <w14:textFill>
            <w14:solidFill>
              <w14:schemeClr w14:val="tx1"/>
            </w14:solidFill>
          </w14:textFill>
        </w:rPr>
        <w:t>转让协议（样本）</w:t>
      </w:r>
      <w:bookmarkEnd w:id="31"/>
      <w:bookmarkEnd w:id="32"/>
      <w:bookmarkEnd w:id="33"/>
      <w:r>
        <w:rPr>
          <w:rFonts w:hint="eastAsia"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根据实际情况</w:t>
      </w:r>
      <w:r>
        <w:rPr>
          <w:rFonts w:hint="eastAsia" w:asciiTheme="minorEastAsia" w:hAnsiTheme="minorEastAsia" w:eastAsiaTheme="minorEastAsia"/>
          <w:color w:val="000000" w:themeColor="text1"/>
          <w:sz w:val="28"/>
          <w:szCs w:val="28"/>
          <w:highlight w:val="yellow"/>
          <w14:textFill>
            <w14:solidFill>
              <w14:schemeClr w14:val="tx1"/>
            </w14:solidFill>
          </w14:textFill>
        </w:rPr>
        <w:t>选择是否适用】</w:t>
      </w:r>
    </w:p>
    <w:p w14:paraId="19A86A3C">
      <w:pPr>
        <w:spacing w:line="400" w:lineRule="exact"/>
        <w:ind w:right="960"/>
        <w:jc w:val="center"/>
        <w:outlineLvl w:val="0"/>
        <w:rPr>
          <w:rFonts w:ascii="宋体" w:hAnsi="宋体"/>
          <w:b/>
          <w:color w:val="000000" w:themeColor="text1"/>
          <w:sz w:val="36"/>
          <w:szCs w:val="36"/>
          <w14:textFill>
            <w14:solidFill>
              <w14:schemeClr w14:val="tx1"/>
            </w14:solidFill>
          </w14:textFill>
        </w:rPr>
      </w:pPr>
    </w:p>
    <w:p w14:paraId="159FB842">
      <w:pPr>
        <w:spacing w:line="400" w:lineRule="exact"/>
        <w:ind w:right="960"/>
        <w:jc w:val="center"/>
        <w:outlineLvl w:val="0"/>
        <w:rPr>
          <w:rFonts w:hint="eastAsia"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债权转让协议</w:t>
      </w:r>
    </w:p>
    <w:p w14:paraId="14E043A8">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r>
        <w:rPr>
          <w:rFonts w:hAnsi="华文楷体" w:eastAsia="华文楷体"/>
          <w:color w:val="000000" w:themeColor="text1"/>
          <w14:textFill>
            <w14:solidFill>
              <w14:schemeClr w14:val="tx1"/>
            </w14:solidFill>
          </w14:textFill>
        </w:rPr>
        <w:t>编号：</w:t>
      </w:r>
      <w:r>
        <w:rPr>
          <w:rFonts w:eastAsia="华文楷体"/>
          <w:color w:val="000000" w:themeColor="text1"/>
          <w14:textFill>
            <w14:solidFill>
              <w14:schemeClr w14:val="tx1"/>
            </w14:solidFill>
          </w14:textFill>
        </w:rPr>
        <w:t>____________________</w:t>
      </w:r>
    </w:p>
    <w:p w14:paraId="4ADC1548">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p>
    <w:p w14:paraId="19B8C819">
      <w:pPr>
        <w:spacing w:line="40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w:t>
      </w:r>
      <w:r>
        <w:rPr>
          <w:rFonts w:hint="eastAsia" w:ascii="宋体" w:hAnsi="宋体"/>
          <w:color w:val="000000" w:themeColor="text1"/>
          <w:sz w:val="28"/>
          <w:szCs w:val="28"/>
          <w14:textFill>
            <w14:solidFill>
              <w14:schemeClr w14:val="tx1"/>
            </w14:solidFill>
          </w14:textFill>
        </w:rPr>
        <w:t>中国中信金融资产管理股份有限公司[         ]分公司</w:t>
      </w:r>
    </w:p>
    <w:p w14:paraId="56A6841C">
      <w:pPr>
        <w:spacing w:line="400" w:lineRule="exact"/>
        <w:rPr>
          <w:rFonts w:hint="eastAsia" w:ascii="宋体" w:hAnsi="宋体"/>
          <w:bCs/>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受让方：</w:t>
      </w:r>
      <w:r>
        <w:rPr>
          <w:rFonts w:hint="eastAsia" w:ascii="宋体" w:hAnsi="宋体"/>
          <w:bCs/>
          <w:color w:val="000000" w:themeColor="text1"/>
          <w:sz w:val="28"/>
          <w:szCs w:val="28"/>
          <w14:textFill>
            <w14:solidFill>
              <w14:schemeClr w14:val="tx1"/>
            </w14:solidFill>
          </w14:textFill>
        </w:rPr>
        <w:t>[                    ]</w:t>
      </w:r>
    </w:p>
    <w:p w14:paraId="2153E351">
      <w:pPr>
        <w:spacing w:line="400" w:lineRule="exact"/>
        <w:rPr>
          <w:rFonts w:hint="eastAsia"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协议签订日期：</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p w14:paraId="4B00FBA6">
      <w:pPr>
        <w:pStyle w:val="26"/>
        <w:spacing w:line="560" w:lineRule="exact"/>
        <w:rPr>
          <w:rFonts w:hint="eastAsia" w:ascii="宋体" w:hAnsi="宋体"/>
          <w:b/>
          <w:color w:val="000000" w:themeColor="text1"/>
          <w:sz w:val="28"/>
          <w:szCs w:val="28"/>
          <w14:textFill>
            <w14:solidFill>
              <w14:schemeClr w14:val="tx1"/>
            </w14:solidFill>
          </w14:textFill>
        </w:rPr>
      </w:pPr>
    </w:p>
    <w:p w14:paraId="43B326E4">
      <w:pPr>
        <w:spacing w:line="56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鉴于：</w:t>
      </w:r>
    </w:p>
    <w:p w14:paraId="2B06EB3D">
      <w:pPr>
        <w:tabs>
          <w:tab w:val="left" w:pos="0"/>
          <w:tab w:val="left" w:pos="2100"/>
        </w:tabs>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1、[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日，转让方与受让方签署</w:t>
      </w:r>
      <w:r>
        <w:rPr>
          <w:rFonts w:hint="eastAsia" w:ascii="宋体" w:hAnsi="宋体"/>
          <w:color w:val="000000" w:themeColor="text1"/>
          <w:sz w:val="28"/>
          <w:szCs w:val="28"/>
          <w14:textFill>
            <w14:solidFill>
              <w14:schemeClr w14:val="tx1"/>
            </w14:solidFill>
          </w14:textFill>
        </w:rPr>
        <w:t>编号为[            ]</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（以下简称“《</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，转让方将《债权转让协议》附件列明的债权包内的全部债权转让给受让方；</w:t>
      </w:r>
    </w:p>
    <w:p w14:paraId="1CE7457A">
      <w:pPr>
        <w:tabs>
          <w:tab w:val="left" w:pos="2100"/>
        </w:tabs>
        <w:spacing w:line="560" w:lineRule="exact"/>
        <w:rPr>
          <w:rFonts w:hint="eastAsia" w:ascii="宋体" w:hAnsi="宋体" w:eastAsia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2、</w:t>
      </w:r>
      <w:r>
        <w:rPr>
          <w:rFonts w:ascii="宋体" w:hAnsi="宋体"/>
          <w:color w:val="000000" w:themeColor="text1"/>
          <w:sz w:val="28"/>
          <w:szCs w:val="28"/>
          <w14:textFill>
            <w14:solidFill>
              <w14:schemeClr w14:val="tx1"/>
            </w14:solidFill>
          </w14:textFill>
        </w:rPr>
        <w:t>为有利于《债权转让协议》的执行，转让方与受让方同意按照《债权转让协议》的约定由转让方与受让方签订分户债权转让协议。</w:t>
      </w:r>
      <w:r>
        <w:rPr>
          <w:rFonts w:hint="eastAsia" w:ascii="宋体" w:hAnsi="宋体"/>
          <w:color w:val="000000" w:themeColor="text1"/>
          <w:sz w:val="28"/>
          <w:szCs w:val="28"/>
          <w14:textFill>
            <w14:solidFill>
              <w14:schemeClr w14:val="tx1"/>
            </w14:solidFill>
          </w14:textFill>
        </w:rPr>
        <w:t xml:space="preserve">    </w:t>
      </w:r>
    </w:p>
    <w:p w14:paraId="780E11BF">
      <w:pPr>
        <w:spacing w:line="560" w:lineRule="exact"/>
        <w:ind w:firstLine="700" w:firstLineChars="25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为此，</w:t>
      </w:r>
      <w:r>
        <w:rPr>
          <w:rFonts w:hint="eastAsia" w:ascii="宋体" w:hAnsi="宋体"/>
          <w:color w:val="000000" w:themeColor="text1"/>
          <w:sz w:val="28"/>
          <w:szCs w:val="28"/>
          <w14:textFill>
            <w14:solidFill>
              <w14:schemeClr w14:val="tx1"/>
            </w14:solidFill>
          </w14:textFill>
        </w:rPr>
        <w:t>各方</w:t>
      </w:r>
      <w:r>
        <w:rPr>
          <w:rFonts w:ascii="宋体" w:hAnsi="宋体"/>
          <w:color w:val="000000" w:themeColor="text1"/>
          <w:sz w:val="28"/>
          <w:szCs w:val="28"/>
          <w14:textFill>
            <w14:solidFill>
              <w14:schemeClr w14:val="tx1"/>
            </w14:solidFill>
          </w14:textFill>
        </w:rPr>
        <w:t>经友好协商，就转让方向受让方转让债权事宜，达成以下协议：</w:t>
      </w:r>
    </w:p>
    <w:p w14:paraId="2263553F">
      <w:pPr>
        <w:numPr>
          <w:ilvl w:val="1"/>
          <w:numId w:val="2"/>
        </w:numPr>
        <w:tabs>
          <w:tab w:val="left" w:pos="1260"/>
          <w:tab w:val="left" w:pos="1620"/>
        </w:tabs>
        <w:spacing w:line="560" w:lineRule="exact"/>
        <w:ind w:left="1680" w:hanging="1680" w:hangingChars="60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转让方向受让方转让下表所示的</w:t>
      </w:r>
      <w:r>
        <w:rPr>
          <w:rFonts w:hint="eastAsia" w:ascii="宋体" w:hAnsi="宋体"/>
          <w:color w:val="000000" w:themeColor="text1"/>
          <w:sz w:val="28"/>
          <w:szCs w:val="28"/>
          <w14:textFill>
            <w14:solidFill>
              <w14:schemeClr w14:val="tx1"/>
            </w14:solidFill>
          </w14:textFill>
        </w:rPr>
        <w:t>债权</w:t>
      </w:r>
      <w:r>
        <w:rPr>
          <w:rFonts w:ascii="宋体" w:hAnsi="宋体"/>
          <w:color w:val="000000" w:themeColor="text1"/>
          <w:sz w:val="28"/>
          <w:szCs w:val="28"/>
          <w14:textFill>
            <w14:solidFill>
              <w14:schemeClr w14:val="tx1"/>
            </w14:solidFill>
          </w14:textFill>
        </w:rPr>
        <w:t xml:space="preserve">（“转让标的”）：             </w:t>
      </w:r>
    </w:p>
    <w:p w14:paraId="4428918F">
      <w:pPr>
        <w:spacing w:line="56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借款人名称：</w:t>
      </w:r>
      <w:r>
        <w:rPr>
          <w:rFonts w:hint="eastAsia" w:ascii="宋体" w:hAnsi="宋体"/>
          <w:bCs/>
          <w:color w:val="000000" w:themeColor="text1"/>
          <w:sz w:val="28"/>
          <w:szCs w:val="28"/>
          <w14:textFill>
            <w14:solidFill>
              <w14:schemeClr w14:val="tx1"/>
            </w14:solidFill>
          </w14:textFill>
        </w:rPr>
        <w:t>[                    ]</w:t>
      </w:r>
    </w:p>
    <w:tbl>
      <w:tblPr>
        <w:tblStyle w:val="14"/>
        <w:tblW w:w="93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290"/>
        <w:gridCol w:w="1770"/>
        <w:gridCol w:w="1023"/>
        <w:gridCol w:w="1320"/>
        <w:gridCol w:w="1280"/>
      </w:tblGrid>
      <w:tr w14:paraId="37D4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720" w:type="dxa"/>
            <w:vAlign w:val="center"/>
          </w:tcPr>
          <w:p w14:paraId="65250429">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借款人编号</w:t>
            </w:r>
          </w:p>
        </w:tc>
        <w:tc>
          <w:tcPr>
            <w:tcW w:w="1980" w:type="dxa"/>
            <w:vAlign w:val="center"/>
          </w:tcPr>
          <w:p w14:paraId="7F36A28D">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借款协议编号（或协议签订时间及协议金额）</w:t>
            </w:r>
          </w:p>
        </w:tc>
        <w:tc>
          <w:tcPr>
            <w:tcW w:w="1290" w:type="dxa"/>
            <w:vAlign w:val="center"/>
          </w:tcPr>
          <w:p w14:paraId="1503C0B5">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担保人名称</w:t>
            </w:r>
          </w:p>
        </w:tc>
        <w:tc>
          <w:tcPr>
            <w:tcW w:w="1770" w:type="dxa"/>
            <w:vAlign w:val="center"/>
          </w:tcPr>
          <w:p w14:paraId="0577EC95">
            <w:pPr>
              <w:keepNext w:val="0"/>
              <w:keepLines w:val="0"/>
              <w:suppressLineNumbers w:val="0"/>
              <w:spacing w:before="0" w:beforeAutospacing="0" w:after="0" w:afterAutospacing="0" w:line="560" w:lineRule="exact"/>
              <w:ind w:left="-78" w:leftChars="-37"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担保协议编号（或协议签订时间）</w:t>
            </w:r>
          </w:p>
        </w:tc>
        <w:tc>
          <w:tcPr>
            <w:tcW w:w="1023" w:type="dxa"/>
            <w:vAlign w:val="center"/>
          </w:tcPr>
          <w:p w14:paraId="5CC9886F">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原贷款行</w:t>
            </w:r>
          </w:p>
        </w:tc>
        <w:tc>
          <w:tcPr>
            <w:tcW w:w="1320" w:type="dxa"/>
            <w:vAlign w:val="center"/>
          </w:tcPr>
          <w:p w14:paraId="0B6081D8">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债权截至基准日本金余额（人民币元）</w:t>
            </w:r>
          </w:p>
        </w:tc>
        <w:tc>
          <w:tcPr>
            <w:tcW w:w="1280" w:type="dxa"/>
          </w:tcPr>
          <w:p w14:paraId="2CDEA9E7">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债权截至基准日欠息金额（人民币元）</w:t>
            </w:r>
          </w:p>
        </w:tc>
      </w:tr>
      <w:tr w14:paraId="1092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Pr>
          <w:p w14:paraId="5D08A535">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980" w:type="dxa"/>
          </w:tcPr>
          <w:p w14:paraId="33A8AFB1">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90" w:type="dxa"/>
          </w:tcPr>
          <w:p w14:paraId="3505BF6F">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770" w:type="dxa"/>
          </w:tcPr>
          <w:p w14:paraId="17C808C7">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023" w:type="dxa"/>
          </w:tcPr>
          <w:p w14:paraId="79D8FDE6">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320" w:type="dxa"/>
          </w:tcPr>
          <w:p w14:paraId="0E27B79A">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80" w:type="dxa"/>
          </w:tcPr>
          <w:p w14:paraId="1C3B012A">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r>
      <w:tr w14:paraId="4AA0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20" w:type="dxa"/>
          </w:tcPr>
          <w:p w14:paraId="6C6A8DE0">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980" w:type="dxa"/>
          </w:tcPr>
          <w:p w14:paraId="7E1EC139">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90" w:type="dxa"/>
          </w:tcPr>
          <w:p w14:paraId="6877FAD1">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770" w:type="dxa"/>
          </w:tcPr>
          <w:p w14:paraId="61289F6D">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023" w:type="dxa"/>
          </w:tcPr>
          <w:p w14:paraId="71635109">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320" w:type="dxa"/>
          </w:tcPr>
          <w:p w14:paraId="73AED12A">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80" w:type="dxa"/>
          </w:tcPr>
          <w:p w14:paraId="2C6E16F1">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r>
    </w:tbl>
    <w:p w14:paraId="6E88B75C">
      <w:pPr>
        <w:numPr>
          <w:ilvl w:val="255"/>
          <w:numId w:val="0"/>
        </w:numPr>
        <w:tabs>
          <w:tab w:val="left" w:pos="1260"/>
          <w:tab w:val="left" w:pos="1620"/>
        </w:tabs>
        <w:topLinePunct/>
        <w:spacing w:line="560" w:lineRule="exact"/>
        <w:rPr>
          <w:rFonts w:hint="eastAsia" w:ascii="宋体" w:hAnsi="宋体" w:eastAsiaTheme="minorEastAsia"/>
          <w:color w:val="000000" w:themeColor="text1"/>
          <w:sz w:val="28"/>
          <w:szCs w:val="28"/>
          <w14:textFill>
            <w14:solidFill>
              <w14:schemeClr w14:val="tx1"/>
            </w14:solidFill>
          </w14:textFill>
        </w:rPr>
      </w:pPr>
    </w:p>
    <w:p w14:paraId="66ACB8E8">
      <w:pPr>
        <w:numPr>
          <w:ilvl w:val="1"/>
          <w:numId w:val="2"/>
        </w:numPr>
        <w:tabs>
          <w:tab w:val="left" w:pos="1260"/>
          <w:tab w:val="left" w:pos="1620"/>
        </w:tabs>
        <w:topLinePunct/>
        <w:spacing w:line="560" w:lineRule="exact"/>
        <w:ind w:left="1680" w:hanging="16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根据《债权转让协议》的约定，</w:t>
      </w:r>
      <w:r>
        <w:rPr>
          <w:rFonts w:hint="eastAsia" w:ascii="宋体" w:hAnsi="宋体"/>
          <w:color w:val="000000" w:themeColor="text1"/>
          <w:sz w:val="28"/>
          <w:szCs w:val="28"/>
          <w14:textFill>
            <w14:solidFill>
              <w14:schemeClr w14:val="tx1"/>
            </w14:solidFill>
          </w14:textFill>
        </w:rPr>
        <w:t>在[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（债权转让日）</w:t>
      </w:r>
      <w:r>
        <w:rPr>
          <w:rFonts w:ascii="宋体" w:hAnsi="宋体"/>
          <w:color w:val="000000" w:themeColor="text1"/>
          <w:sz w:val="28"/>
          <w:szCs w:val="28"/>
          <w14:textFill>
            <w14:solidFill>
              <w14:schemeClr w14:val="tx1"/>
            </w14:solidFill>
          </w14:textFill>
        </w:rPr>
        <w:t>，自</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（债权基准日）起</w:t>
      </w:r>
      <w:r>
        <w:rPr>
          <w:rFonts w:ascii="宋体" w:hAnsi="宋体"/>
          <w:color w:val="000000" w:themeColor="text1"/>
          <w:sz w:val="28"/>
          <w:szCs w:val="28"/>
          <w14:textFill>
            <w14:solidFill>
              <w14:schemeClr w14:val="tx1"/>
            </w14:solidFill>
          </w14:textFill>
        </w:rPr>
        <w:t>与转让标的</w:t>
      </w:r>
      <w:r>
        <w:rPr>
          <w:rFonts w:hint="eastAsia" w:asciiTheme="minorEastAsia" w:hAnsiTheme="minorEastAsia" w:eastAsiaTheme="minorEastAsia"/>
          <w:color w:val="000000" w:themeColor="text1"/>
          <w:kern w:val="0"/>
          <w:sz w:val="28"/>
          <w:szCs w:val="28"/>
          <w14:textFill>
            <w14:solidFill>
              <w14:schemeClr w14:val="tx1"/>
            </w14:solidFill>
          </w14:textFill>
        </w:rPr>
        <w:t>有关的全部权利自</w:t>
      </w:r>
      <w:r>
        <w:rPr>
          <w:rFonts w:hint="eastAsia" w:asciiTheme="minorEastAsia" w:hAnsiTheme="minorEastAsia"/>
          <w:color w:val="000000" w:themeColor="text1"/>
          <w:kern w:val="0"/>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转移至</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color w:val="000000" w:themeColor="text1"/>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14:paraId="5E406A5C">
      <w:pPr>
        <w:numPr>
          <w:ilvl w:val="1"/>
          <w:numId w:val="2"/>
        </w:numPr>
        <w:tabs>
          <w:tab w:val="left" w:pos="1260"/>
          <w:tab w:val="left" w:pos="1620"/>
        </w:tabs>
        <w:spacing w:line="560" w:lineRule="exact"/>
        <w:ind w:left="1680" w:hanging="1680" w:hangingChars="60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w:t>
      </w:r>
      <w:r>
        <w:rPr>
          <w:rFonts w:hint="eastAsia" w:ascii="宋体" w:hAnsi="宋体"/>
          <w:color w:val="000000" w:themeColor="text1"/>
          <w:sz w:val="28"/>
          <w:szCs w:val="28"/>
          <w14:textFill>
            <w14:solidFill>
              <w14:schemeClr w14:val="tx1"/>
            </w14:solidFill>
          </w14:textFill>
        </w:rPr>
        <w:t>为</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组成部分，本协议</w:t>
      </w:r>
      <w:r>
        <w:rPr>
          <w:rFonts w:ascii="宋体" w:hAnsi="宋体"/>
          <w:color w:val="000000" w:themeColor="text1"/>
          <w:sz w:val="28"/>
          <w:szCs w:val="28"/>
          <w14:textFill>
            <w14:solidFill>
              <w14:schemeClr w14:val="tx1"/>
            </w14:solidFill>
          </w14:textFill>
        </w:rPr>
        <w:t>未约定的事项，按《债权转让协议》的规定执行。</w:t>
      </w:r>
    </w:p>
    <w:p w14:paraId="0354AEEB">
      <w:pPr>
        <w:numPr>
          <w:ilvl w:val="1"/>
          <w:numId w:val="2"/>
        </w:numPr>
        <w:spacing w:line="560" w:lineRule="exact"/>
        <w:ind w:left="1680" w:hanging="168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本协议自</w:t>
      </w:r>
      <w:r>
        <w:rPr>
          <w:rFonts w:hint="eastAsia" w:ascii="宋体" w:hAnsi="宋体"/>
          <w:color w:val="000000" w:themeColor="text1"/>
          <w:sz w:val="28"/>
          <w:szCs w:val="28"/>
          <w14:textFill>
            <w14:solidFill>
              <w14:schemeClr w14:val="tx1"/>
            </w14:solidFill>
          </w14:textFill>
        </w:rPr>
        <w:t>各方有权签字人签名或盖章并加盖公章后生效。</w:t>
      </w:r>
    </w:p>
    <w:p w14:paraId="1B58A719">
      <w:pPr>
        <w:numPr>
          <w:ilvl w:val="1"/>
          <w:numId w:val="2"/>
        </w:numPr>
        <w:tabs>
          <w:tab w:val="left" w:pos="1260"/>
        </w:tabs>
        <w:spacing w:line="560" w:lineRule="exact"/>
        <w:ind w:left="1680" w:hanging="16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本协议一式</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w:t>
      </w:r>
      <w:r>
        <w:rPr>
          <w:rFonts w:hint="eastAsia" w:ascii="宋体" w:hAnsi="宋体"/>
          <w:color w:val="000000" w:themeColor="text1"/>
          <w:sz w:val="28"/>
          <w:szCs w:val="28"/>
          <w14:textFill>
            <w14:solidFill>
              <w14:schemeClr w14:val="tx1"/>
            </w14:solidFill>
          </w14:textFill>
        </w:rPr>
        <w:t>各方</w:t>
      </w:r>
      <w:r>
        <w:rPr>
          <w:rFonts w:ascii="宋体" w:hAnsi="宋体"/>
          <w:color w:val="000000" w:themeColor="text1"/>
          <w:sz w:val="28"/>
          <w:szCs w:val="28"/>
          <w14:textFill>
            <w14:solidFill>
              <w14:schemeClr w14:val="tx1"/>
            </w14:solidFill>
          </w14:textFill>
        </w:rPr>
        <w:t>各执</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份，每份协议具有同等法律效力。</w:t>
      </w:r>
    </w:p>
    <w:p w14:paraId="346433A3">
      <w:pPr>
        <w:spacing w:line="400" w:lineRule="exact"/>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（以下无正文）</w:t>
      </w:r>
    </w:p>
    <w:p w14:paraId="1231BA3E">
      <w:pPr>
        <w:spacing w:line="400" w:lineRule="exact"/>
        <w:rPr>
          <w:rFonts w:hint="eastAsia" w:ascii="宋体" w:hAnsi="宋体"/>
          <w:color w:val="000000" w:themeColor="text1"/>
          <w:sz w:val="28"/>
          <w:szCs w:val="28"/>
          <w14:textFill>
            <w14:solidFill>
              <w14:schemeClr w14:val="tx1"/>
            </w14:solidFill>
          </w14:textFill>
        </w:rPr>
      </w:pPr>
    </w:p>
    <w:p w14:paraId="768DBFC0">
      <w:pPr>
        <w:pStyle w:val="26"/>
        <w:widowControl w:val="0"/>
        <w:tabs>
          <w:tab w:val="left" w:pos="4680"/>
        </w:tabs>
        <w:spacing w:line="56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转让方：中国中信金融资产管理股份有限公司[        ]分公司</w:t>
      </w:r>
    </w:p>
    <w:p w14:paraId="6CDBC4C4">
      <w:pPr>
        <w:pStyle w:val="26"/>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负责人（或授权代理人）：</w:t>
      </w:r>
      <w:r>
        <w:rPr>
          <w:rFonts w:hint="eastAsia" w:ascii="宋体" w:hAnsi="宋体"/>
          <w:bCs/>
          <w:color w:val="000000" w:themeColor="text1"/>
          <w:sz w:val="28"/>
          <w:szCs w:val="28"/>
          <w14:textFill>
            <w14:solidFill>
              <w14:schemeClr w14:val="tx1"/>
            </w14:solidFill>
          </w14:textFill>
        </w:rPr>
        <w:t>[                    ]</w:t>
      </w:r>
    </w:p>
    <w:p w14:paraId="33FA4425">
      <w:pPr>
        <w:rPr>
          <w:color w:val="000000" w:themeColor="text1"/>
          <w14:textFill>
            <w14:solidFill>
              <w14:schemeClr w14:val="tx1"/>
            </w14:solidFill>
          </w14:textFill>
        </w:rPr>
      </w:pPr>
    </w:p>
    <w:p w14:paraId="7D170A2E">
      <w:pPr>
        <w:rPr>
          <w:color w:val="000000" w:themeColor="text1"/>
          <w14:textFill>
            <w14:solidFill>
              <w14:schemeClr w14:val="tx1"/>
            </w14:solidFill>
          </w14:textFill>
        </w:rPr>
      </w:pPr>
    </w:p>
    <w:p w14:paraId="56B0782E">
      <w:pPr>
        <w:rPr>
          <w:color w:val="000000" w:themeColor="text1"/>
          <w14:textFill>
            <w14:solidFill>
              <w14:schemeClr w14:val="tx1"/>
            </w14:solidFill>
          </w14:textFill>
        </w:rPr>
      </w:pPr>
    </w:p>
    <w:p w14:paraId="57205024">
      <w:pPr>
        <w:rPr>
          <w:color w:val="000000" w:themeColor="text1"/>
          <w14:textFill>
            <w14:solidFill>
              <w14:schemeClr w14:val="tx1"/>
            </w14:solidFill>
          </w14:textFill>
        </w:rPr>
      </w:pPr>
    </w:p>
    <w:p w14:paraId="25A4EBB0">
      <w:pPr>
        <w:pStyle w:val="26"/>
        <w:widowControl w:val="0"/>
        <w:tabs>
          <w:tab w:val="left" w:pos="4680"/>
        </w:tabs>
        <w:spacing w:line="56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受让方：</w:t>
      </w:r>
      <w:r>
        <w:rPr>
          <w:rFonts w:hint="eastAsia" w:ascii="宋体" w:hAnsi="宋体"/>
          <w:b/>
          <w:bCs/>
          <w:color w:val="000000" w:themeColor="text1"/>
          <w:sz w:val="28"/>
          <w:szCs w:val="28"/>
          <w14:textFill>
            <w14:solidFill>
              <w14:schemeClr w14:val="tx1"/>
            </w14:solidFill>
          </w14:textFill>
        </w:rPr>
        <w:t>[                  ]</w:t>
      </w:r>
    </w:p>
    <w:p w14:paraId="3D747D70">
      <w:pPr>
        <w:pStyle w:val="26"/>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法定代表人（或授权代理人）：</w:t>
      </w:r>
      <w:r>
        <w:rPr>
          <w:rFonts w:hint="eastAsia" w:ascii="宋体" w:hAnsi="宋体"/>
          <w:bCs/>
          <w:color w:val="000000" w:themeColor="text1"/>
          <w:sz w:val="28"/>
          <w:szCs w:val="28"/>
          <w14:textFill>
            <w14:solidFill>
              <w14:schemeClr w14:val="tx1"/>
            </w14:solidFill>
          </w14:textFill>
        </w:rPr>
        <w:t>[                    ]</w:t>
      </w:r>
    </w:p>
    <w:p w14:paraId="168A4EB8">
      <w:pPr>
        <w:rPr>
          <w:color w:val="000000" w:themeColor="text1"/>
          <w14:textFill>
            <w14:solidFill>
              <w14:schemeClr w14:val="tx1"/>
            </w14:solidFill>
          </w14:textFill>
        </w:rPr>
      </w:pPr>
    </w:p>
    <w:p w14:paraId="20F9C933">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55E64DA2">
      <w:pPr>
        <w:pStyle w:val="2"/>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14:paraId="63B6A644">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14:paraId="1D841B1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4"/>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2E4429A8"/>
    <w:multiLevelType w:val="multilevel"/>
    <w:tmpl w:val="2E4429A8"/>
    <w:lvl w:ilvl="0" w:tentative="0">
      <w:start w:val="1"/>
      <w:numFmt w:val="chineseCountingThousand"/>
      <w:lvlText w:val="第%1条"/>
      <w:lvlJc w:val="left"/>
      <w:pPr>
        <w:tabs>
          <w:tab w:val="left" w:pos="1498"/>
        </w:tabs>
        <w:ind w:left="1498" w:hanging="420"/>
      </w:pPr>
      <w:rPr>
        <w:rFonts w:hint="eastAsia" w:cs="Times New Roman"/>
      </w:rPr>
    </w:lvl>
    <w:lvl w:ilvl="1" w:tentative="0">
      <w:start w:val="1"/>
      <w:numFmt w:val="chineseCountingThousand"/>
      <w:lvlText w:val="第%2条"/>
      <w:lvlJc w:val="left"/>
      <w:pPr>
        <w:tabs>
          <w:tab w:val="left" w:pos="1378"/>
        </w:tabs>
        <w:ind w:left="1378" w:hanging="420"/>
      </w:pPr>
      <w:rPr>
        <w:rFonts w:hint="eastAsia"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3230F3"/>
    <w:rsid w:val="01397C9C"/>
    <w:rsid w:val="015676BF"/>
    <w:rsid w:val="01941722"/>
    <w:rsid w:val="01ED30B6"/>
    <w:rsid w:val="024D552A"/>
    <w:rsid w:val="029C1F55"/>
    <w:rsid w:val="02B81885"/>
    <w:rsid w:val="02CF14AA"/>
    <w:rsid w:val="033C7B51"/>
    <w:rsid w:val="03525630"/>
    <w:rsid w:val="03DA4A5D"/>
    <w:rsid w:val="041F3E12"/>
    <w:rsid w:val="04467D92"/>
    <w:rsid w:val="046D5972"/>
    <w:rsid w:val="0564268C"/>
    <w:rsid w:val="05E5754B"/>
    <w:rsid w:val="05EA6510"/>
    <w:rsid w:val="068D758D"/>
    <w:rsid w:val="075D78FC"/>
    <w:rsid w:val="084044DD"/>
    <w:rsid w:val="085801BC"/>
    <w:rsid w:val="089E0A55"/>
    <w:rsid w:val="098375FB"/>
    <w:rsid w:val="0AF11E5E"/>
    <w:rsid w:val="0B697E78"/>
    <w:rsid w:val="0BB0283D"/>
    <w:rsid w:val="0C415D71"/>
    <w:rsid w:val="0C767E33"/>
    <w:rsid w:val="0CEC47C3"/>
    <w:rsid w:val="0D473C2E"/>
    <w:rsid w:val="0DF72F8F"/>
    <w:rsid w:val="0E381596"/>
    <w:rsid w:val="0EEF0710"/>
    <w:rsid w:val="0EFE4C65"/>
    <w:rsid w:val="0F27347B"/>
    <w:rsid w:val="0F276A6D"/>
    <w:rsid w:val="0F752EA3"/>
    <w:rsid w:val="0FCE22FD"/>
    <w:rsid w:val="122968D9"/>
    <w:rsid w:val="13800A72"/>
    <w:rsid w:val="13DA081E"/>
    <w:rsid w:val="144B7A97"/>
    <w:rsid w:val="14B22A7F"/>
    <w:rsid w:val="14ED293C"/>
    <w:rsid w:val="154A7873"/>
    <w:rsid w:val="16AA748F"/>
    <w:rsid w:val="16B212CB"/>
    <w:rsid w:val="18C57A32"/>
    <w:rsid w:val="19D3216D"/>
    <w:rsid w:val="19DB276A"/>
    <w:rsid w:val="1B4F4EDD"/>
    <w:rsid w:val="1B6F4296"/>
    <w:rsid w:val="1BBB420C"/>
    <w:rsid w:val="1C943EEF"/>
    <w:rsid w:val="1CBA66FB"/>
    <w:rsid w:val="1D536262"/>
    <w:rsid w:val="1D892799"/>
    <w:rsid w:val="1F685851"/>
    <w:rsid w:val="1F6C0130"/>
    <w:rsid w:val="1FE04F02"/>
    <w:rsid w:val="1FFF2036"/>
    <w:rsid w:val="20B13FB4"/>
    <w:rsid w:val="20BE097B"/>
    <w:rsid w:val="20F77BEB"/>
    <w:rsid w:val="2204230C"/>
    <w:rsid w:val="22221455"/>
    <w:rsid w:val="22873935"/>
    <w:rsid w:val="22946A13"/>
    <w:rsid w:val="22BA72A8"/>
    <w:rsid w:val="23A848B2"/>
    <w:rsid w:val="23E2706A"/>
    <w:rsid w:val="242642DB"/>
    <w:rsid w:val="24651B2D"/>
    <w:rsid w:val="24916D80"/>
    <w:rsid w:val="258A19A4"/>
    <w:rsid w:val="26F052A6"/>
    <w:rsid w:val="270757C8"/>
    <w:rsid w:val="28151CC0"/>
    <w:rsid w:val="28205186"/>
    <w:rsid w:val="28F65B07"/>
    <w:rsid w:val="2A1A63AB"/>
    <w:rsid w:val="2A32471A"/>
    <w:rsid w:val="2B697EA4"/>
    <w:rsid w:val="2B9C641C"/>
    <w:rsid w:val="2C921477"/>
    <w:rsid w:val="2CAD2B77"/>
    <w:rsid w:val="2D017EE1"/>
    <w:rsid w:val="2D3C4843"/>
    <w:rsid w:val="2EA61897"/>
    <w:rsid w:val="2ED20A77"/>
    <w:rsid w:val="2EE93605"/>
    <w:rsid w:val="30146DD2"/>
    <w:rsid w:val="30BB3500"/>
    <w:rsid w:val="31BF0359"/>
    <w:rsid w:val="31C75C18"/>
    <w:rsid w:val="32245F0E"/>
    <w:rsid w:val="323E02C2"/>
    <w:rsid w:val="3297178C"/>
    <w:rsid w:val="329E1117"/>
    <w:rsid w:val="32CB1A44"/>
    <w:rsid w:val="33576347"/>
    <w:rsid w:val="338B2FA8"/>
    <w:rsid w:val="34A76F6E"/>
    <w:rsid w:val="35507787"/>
    <w:rsid w:val="3566192B"/>
    <w:rsid w:val="366208C9"/>
    <w:rsid w:val="3718671E"/>
    <w:rsid w:val="376F7781"/>
    <w:rsid w:val="37880D2F"/>
    <w:rsid w:val="37FF078B"/>
    <w:rsid w:val="3875702F"/>
    <w:rsid w:val="387F0E8A"/>
    <w:rsid w:val="39343BEA"/>
    <w:rsid w:val="39961B7F"/>
    <w:rsid w:val="3A5E23D3"/>
    <w:rsid w:val="3A8E5120"/>
    <w:rsid w:val="3ACC0B88"/>
    <w:rsid w:val="3B231786"/>
    <w:rsid w:val="3BFD2D30"/>
    <w:rsid w:val="3CA63F8F"/>
    <w:rsid w:val="3CB91DAE"/>
    <w:rsid w:val="3CBF2E36"/>
    <w:rsid w:val="3CD31AD7"/>
    <w:rsid w:val="3CDB71B4"/>
    <w:rsid w:val="3CFD16D2"/>
    <w:rsid w:val="3D690634"/>
    <w:rsid w:val="3D6B0D9C"/>
    <w:rsid w:val="3DC7550C"/>
    <w:rsid w:val="3E2A2088"/>
    <w:rsid w:val="3E4A28AD"/>
    <w:rsid w:val="3E5F0364"/>
    <w:rsid w:val="3EA02FC4"/>
    <w:rsid w:val="3F39088B"/>
    <w:rsid w:val="402818D6"/>
    <w:rsid w:val="411617D6"/>
    <w:rsid w:val="41D91542"/>
    <w:rsid w:val="42622E8A"/>
    <w:rsid w:val="42FA77EF"/>
    <w:rsid w:val="42FB2E4B"/>
    <w:rsid w:val="43056A83"/>
    <w:rsid w:val="43DD4F5D"/>
    <w:rsid w:val="448A77B2"/>
    <w:rsid w:val="45562AD0"/>
    <w:rsid w:val="458C2FAA"/>
    <w:rsid w:val="46157EB1"/>
    <w:rsid w:val="46D47B74"/>
    <w:rsid w:val="46FF1807"/>
    <w:rsid w:val="47106D8C"/>
    <w:rsid w:val="47A603FE"/>
    <w:rsid w:val="47C600BE"/>
    <w:rsid w:val="484C25FE"/>
    <w:rsid w:val="489D5DB0"/>
    <w:rsid w:val="4983062C"/>
    <w:rsid w:val="4A5A1AB4"/>
    <w:rsid w:val="4A96396C"/>
    <w:rsid w:val="4AED18C4"/>
    <w:rsid w:val="4B3B40FA"/>
    <w:rsid w:val="4B737AD7"/>
    <w:rsid w:val="4BDC75E2"/>
    <w:rsid w:val="4C5B2C5A"/>
    <w:rsid w:val="4CAA4EF6"/>
    <w:rsid w:val="4CB8339F"/>
    <w:rsid w:val="4CE715F3"/>
    <w:rsid w:val="4D3A7EED"/>
    <w:rsid w:val="4E4A6258"/>
    <w:rsid w:val="4E6728FD"/>
    <w:rsid w:val="4E7E09D4"/>
    <w:rsid w:val="4EF16577"/>
    <w:rsid w:val="4F664C06"/>
    <w:rsid w:val="4F8F6EC1"/>
    <w:rsid w:val="4FAA1D01"/>
    <w:rsid w:val="4FC71258"/>
    <w:rsid w:val="50C6193C"/>
    <w:rsid w:val="51170698"/>
    <w:rsid w:val="511F5AA4"/>
    <w:rsid w:val="512D0A9D"/>
    <w:rsid w:val="513E2AD6"/>
    <w:rsid w:val="51714A5C"/>
    <w:rsid w:val="51A2722D"/>
    <w:rsid w:val="51D303AF"/>
    <w:rsid w:val="5228716A"/>
    <w:rsid w:val="528266ED"/>
    <w:rsid w:val="52D214C8"/>
    <w:rsid w:val="536C7385"/>
    <w:rsid w:val="53B87967"/>
    <w:rsid w:val="546E4D68"/>
    <w:rsid w:val="54E37180"/>
    <w:rsid w:val="54F20968"/>
    <w:rsid w:val="55802710"/>
    <w:rsid w:val="56191A4F"/>
    <w:rsid w:val="56B31C4E"/>
    <w:rsid w:val="58B62318"/>
    <w:rsid w:val="590B7824"/>
    <w:rsid w:val="597C685E"/>
    <w:rsid w:val="5A496382"/>
    <w:rsid w:val="5A841633"/>
    <w:rsid w:val="5B223553"/>
    <w:rsid w:val="5B3E42C0"/>
    <w:rsid w:val="5BA17B6C"/>
    <w:rsid w:val="5D207CD9"/>
    <w:rsid w:val="5D410290"/>
    <w:rsid w:val="5DEE5DA8"/>
    <w:rsid w:val="5E031879"/>
    <w:rsid w:val="5E611EA8"/>
    <w:rsid w:val="5ED44DA1"/>
    <w:rsid w:val="60A55345"/>
    <w:rsid w:val="60DA41F1"/>
    <w:rsid w:val="62572464"/>
    <w:rsid w:val="627D223D"/>
    <w:rsid w:val="6354115D"/>
    <w:rsid w:val="641649C3"/>
    <w:rsid w:val="644D291F"/>
    <w:rsid w:val="64A2599C"/>
    <w:rsid w:val="6617798C"/>
    <w:rsid w:val="673274DF"/>
    <w:rsid w:val="67992BBF"/>
    <w:rsid w:val="67D4101E"/>
    <w:rsid w:val="684C53AD"/>
    <w:rsid w:val="68EB4053"/>
    <w:rsid w:val="6984338D"/>
    <w:rsid w:val="69A01157"/>
    <w:rsid w:val="6A2471B2"/>
    <w:rsid w:val="6A5401FE"/>
    <w:rsid w:val="6AB219F3"/>
    <w:rsid w:val="6B9E2B02"/>
    <w:rsid w:val="6BD25174"/>
    <w:rsid w:val="6C0B4266"/>
    <w:rsid w:val="6DFB42FF"/>
    <w:rsid w:val="6DFD7802"/>
    <w:rsid w:val="6E4A407E"/>
    <w:rsid w:val="6E992E86"/>
    <w:rsid w:val="6F113E47"/>
    <w:rsid w:val="6F1410FE"/>
    <w:rsid w:val="6F2443B5"/>
    <w:rsid w:val="6F30705D"/>
    <w:rsid w:val="6F3A720A"/>
    <w:rsid w:val="6F4A5808"/>
    <w:rsid w:val="6F7A6DCE"/>
    <w:rsid w:val="6FB33650"/>
    <w:rsid w:val="70964DE9"/>
    <w:rsid w:val="70DB4A60"/>
    <w:rsid w:val="717B51BA"/>
    <w:rsid w:val="72500661"/>
    <w:rsid w:val="75A6706A"/>
    <w:rsid w:val="75AF1087"/>
    <w:rsid w:val="75D44E5F"/>
    <w:rsid w:val="76294569"/>
    <w:rsid w:val="76C57C6B"/>
    <w:rsid w:val="76CF057A"/>
    <w:rsid w:val="784E1CF0"/>
    <w:rsid w:val="78A649A6"/>
    <w:rsid w:val="79416D2A"/>
    <w:rsid w:val="795939E6"/>
    <w:rsid w:val="7984759A"/>
    <w:rsid w:val="7A9C7ED4"/>
    <w:rsid w:val="7AFF21C7"/>
    <w:rsid w:val="7B1750CC"/>
    <w:rsid w:val="7BC94525"/>
    <w:rsid w:val="7C122FF1"/>
    <w:rsid w:val="7DD26FEA"/>
    <w:rsid w:val="7E3748CF"/>
    <w:rsid w:val="7F255CC0"/>
    <w:rsid w:val="7FB3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4">
    <w:name w:val="heading 2"/>
    <w:basedOn w:val="1"/>
    <w:next w:val="1"/>
    <w:link w:val="22"/>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annotation text"/>
    <w:basedOn w:val="1"/>
    <w:unhideWhenUsed/>
    <w:qFormat/>
    <w:uiPriority w:val="99"/>
    <w:pPr>
      <w:jc w:val="left"/>
    </w:pPr>
  </w:style>
  <w:style w:type="paragraph" w:styleId="6">
    <w:name w:val="Body Text"/>
    <w:basedOn w:val="1"/>
    <w:link w:val="23"/>
    <w:qFormat/>
    <w:uiPriority w:val="0"/>
    <w:pPr>
      <w:ind w:firstLine="1440"/>
    </w:pPr>
    <w:rPr>
      <w:rFonts w:eastAsia="Batang"/>
      <w:kern w:val="0"/>
      <w:sz w:val="22"/>
      <w:szCs w:val="22"/>
      <w:lang w:eastAsia="ko-KR"/>
    </w:rPr>
  </w:style>
  <w:style w:type="paragraph" w:styleId="7">
    <w:name w:val="index 4"/>
    <w:basedOn w:val="1"/>
    <w:next w:val="1"/>
    <w:qFormat/>
    <w:uiPriority w:val="0"/>
    <w:pPr>
      <w:ind w:firstLine="712" w:firstLineChars="200"/>
    </w:pPr>
    <w:rPr>
      <w:szCs w:val="24"/>
    </w:rPr>
  </w:style>
  <w:style w:type="paragraph" w:styleId="8">
    <w:name w:val="Date"/>
    <w:basedOn w:val="1"/>
    <w:next w:val="1"/>
    <w:link w:val="27"/>
    <w:unhideWhenUsed/>
    <w:qFormat/>
    <w:uiPriority w:val="99"/>
    <w:pPr>
      <w:ind w:left="100" w:leftChars="2500"/>
    </w:pPr>
  </w:style>
  <w:style w:type="paragraph" w:styleId="9">
    <w:name w:val="Body Text Indent 2"/>
    <w:basedOn w:val="1"/>
    <w:link w:val="24"/>
    <w:qFormat/>
    <w:uiPriority w:val="0"/>
    <w:pPr>
      <w:spacing w:after="120" w:line="480" w:lineRule="auto"/>
      <w:ind w:left="200" w:leftChars="200"/>
    </w:pPr>
  </w:style>
  <w:style w:type="paragraph" w:styleId="10">
    <w:name w:val="Balloon Text"/>
    <w:basedOn w:val="1"/>
    <w:link w:val="28"/>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Autospacing="1" w:afterAutospacing="1"/>
      <w:jc w:val="left"/>
    </w:pPr>
    <w:rPr>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标题 1 Char"/>
    <w:basedOn w:val="16"/>
    <w:link w:val="3"/>
    <w:qFormat/>
    <w:uiPriority w:val="0"/>
    <w:rPr>
      <w:rFonts w:ascii="Times New Roman" w:hAnsi="Times New Roman" w:eastAsia="宋体" w:cs="Times New Roman"/>
      <w:b/>
      <w:caps/>
      <w:color w:val="0000FF"/>
      <w:kern w:val="36"/>
      <w:sz w:val="22"/>
      <w:lang w:eastAsia="ko-KR"/>
    </w:rPr>
  </w:style>
  <w:style w:type="character" w:customStyle="1" w:styleId="22">
    <w:name w:val="标题 2 Char"/>
    <w:basedOn w:val="16"/>
    <w:link w:val="4"/>
    <w:qFormat/>
    <w:uiPriority w:val="0"/>
    <w:rPr>
      <w:rFonts w:ascii="Times New Roman" w:hAnsi="Times New Roman" w:eastAsia="宋体" w:cs="Times New Roman"/>
      <w:b/>
      <w:color w:val="0000FF"/>
      <w:kern w:val="0"/>
      <w:sz w:val="22"/>
      <w:lang w:eastAsia="ko-KR"/>
    </w:rPr>
  </w:style>
  <w:style w:type="character" w:customStyle="1" w:styleId="23">
    <w:name w:val="正文文本 Char"/>
    <w:basedOn w:val="16"/>
    <w:link w:val="6"/>
    <w:qFormat/>
    <w:uiPriority w:val="0"/>
    <w:rPr>
      <w:rFonts w:ascii="Times New Roman" w:hAnsi="Times New Roman" w:eastAsia="Batang" w:cs="Times New Roman"/>
      <w:kern w:val="0"/>
      <w:sz w:val="22"/>
      <w:lang w:eastAsia="ko-KR"/>
    </w:rPr>
  </w:style>
  <w:style w:type="character" w:customStyle="1" w:styleId="24">
    <w:name w:val="正文文本缩进 2 Char"/>
    <w:basedOn w:val="16"/>
    <w:link w:val="9"/>
    <w:qFormat/>
    <w:uiPriority w:val="0"/>
    <w:rPr>
      <w:rFonts w:ascii="Times New Roman" w:hAnsi="Times New Roman" w:eastAsia="宋体" w:cs="Times New Roman"/>
      <w:szCs w:val="20"/>
    </w:rPr>
  </w:style>
  <w:style w:type="paragraph" w:customStyle="1" w:styleId="25">
    <w:name w:val="Body Text First Indent just"/>
    <w:next w:val="6"/>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6">
    <w:name w:val="Normal (Justified)"/>
    <w:basedOn w:val="1"/>
    <w:qFormat/>
    <w:uiPriority w:val="0"/>
    <w:pPr>
      <w:widowControl/>
    </w:pPr>
    <w:rPr>
      <w:snapToGrid w:val="0"/>
      <w:kern w:val="28"/>
      <w:sz w:val="24"/>
    </w:rPr>
  </w:style>
  <w:style w:type="character" w:customStyle="1" w:styleId="27">
    <w:name w:val="日期 Char"/>
    <w:basedOn w:val="16"/>
    <w:link w:val="8"/>
    <w:semiHidden/>
    <w:qFormat/>
    <w:uiPriority w:val="99"/>
    <w:rPr>
      <w:rFonts w:ascii="Times New Roman" w:hAnsi="Times New Roman" w:eastAsia="宋体" w:cs="Times New Roman"/>
      <w:szCs w:val="20"/>
    </w:rPr>
  </w:style>
  <w:style w:type="character" w:customStyle="1" w:styleId="28">
    <w:name w:val="批注框文本 Char"/>
    <w:basedOn w:val="16"/>
    <w:link w:val="10"/>
    <w:semiHidden/>
    <w:qFormat/>
    <w:uiPriority w:val="99"/>
    <w:rPr>
      <w:rFonts w:ascii="Times New Roman" w:hAnsi="Times New Roman" w:eastAsia="宋体" w:cs="Times New Roman"/>
      <w:sz w:val="18"/>
      <w:szCs w:val="18"/>
    </w:rPr>
  </w:style>
  <w:style w:type="paragraph" w:customStyle="1" w:styleId="29">
    <w:name w:val="Char Char Char"/>
    <w:basedOn w:val="1"/>
    <w:qFormat/>
    <w:uiPriority w:val="0"/>
    <w:pPr>
      <w:adjustRightInd w:val="0"/>
    </w:pPr>
    <w:rPr>
      <w:szCs w:val="24"/>
    </w:rPr>
  </w:style>
  <w:style w:type="paragraph" w:customStyle="1" w:styleId="30">
    <w:name w:val="列出段落1"/>
    <w:basedOn w:val="1"/>
    <w:unhideWhenUsed/>
    <w:qFormat/>
    <w:uiPriority w:val="99"/>
    <w:pPr>
      <w:ind w:firstLine="420" w:firstLineChars="200"/>
    </w:pPr>
  </w:style>
  <w:style w:type="paragraph" w:customStyle="1" w:styleId="31">
    <w:name w:val="Char Char Char1"/>
    <w:basedOn w:val="1"/>
    <w:qFormat/>
    <w:uiPriority w:val="0"/>
    <w:pPr>
      <w:adjustRightInd w:val="0"/>
    </w:pPr>
    <w:rPr>
      <w:szCs w:val="24"/>
    </w:rPr>
  </w:style>
  <w:style w:type="paragraph" w:customStyle="1" w:styleId="32">
    <w:name w:val="Date1"/>
    <w:basedOn w:val="1"/>
    <w:next w:val="26"/>
    <w:link w:val="33"/>
    <w:qFormat/>
    <w:uiPriority w:val="0"/>
    <w:pPr>
      <w:widowControl/>
      <w:spacing w:after="200" w:line="276" w:lineRule="auto"/>
      <w:jc w:val="center"/>
    </w:pPr>
    <w:rPr>
      <w:kern w:val="0"/>
      <w:sz w:val="24"/>
    </w:rPr>
  </w:style>
  <w:style w:type="character" w:customStyle="1" w:styleId="33">
    <w:name w:val="Date Char Char"/>
    <w:link w:val="32"/>
    <w:qFormat/>
    <w:uiPriority w:val="0"/>
    <w:rPr>
      <w:sz w:val="24"/>
    </w:rPr>
  </w:style>
  <w:style w:type="character" w:customStyle="1" w:styleId="34">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Normal.dotm</Template>
  <Company>中国华融资产管理公司</Company>
  <Pages>35</Pages>
  <Words>2830</Words>
  <Characters>16136</Characters>
  <Lines>134</Lines>
  <Paragraphs>37</Paragraphs>
  <TotalTime>0</TotalTime>
  <ScaleCrop>false</ScaleCrop>
  <LinksUpToDate>false</LinksUpToDate>
  <CharactersWithSpaces>18929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wangkairan</cp:lastModifiedBy>
  <cp:lastPrinted>2024-04-10T01:54:00Z</cp:lastPrinted>
  <dcterms:modified xsi:type="dcterms:W3CDTF">2026-06-16T08:52:47Z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50CB9E75CE3643DA82F25B725BF21FF8</vt:lpwstr>
  </property>
</Properties>
</file>