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山东省东营东营区北二路测井公司资产5年使用权</w:t>
      </w:r>
      <w:r>
        <w:rPr>
          <w:rFonts w:hint="eastAsia" w:ascii="宋体" w:hAnsi="宋体"/>
          <w:bCs/>
          <w:sz w:val="28"/>
          <w:szCs w:val="28"/>
        </w:rPr>
        <w:t>项目挂牌转让一事，本公司（本人）已前往现场进行实地勘察。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w:t>
      </w:r>
      <w:bookmarkStart w:id="0" w:name="_GoBack"/>
      <w:bookmarkEnd w:id="0"/>
      <w:r>
        <w:rPr>
          <w:rFonts w:hint="eastAsia" w:ascii="宋体" w:hAnsi="宋体"/>
          <w:bCs/>
          <w:sz w:val="28"/>
          <w:szCs w:val="28"/>
        </w:rPr>
        <w:t>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AD7E6E"/>
    <w:rsid w:val="12EC5918"/>
    <w:rsid w:val="1460331B"/>
    <w:rsid w:val="1EA005EB"/>
    <w:rsid w:val="22485E62"/>
    <w:rsid w:val="2CA30909"/>
    <w:rsid w:val="33BA29D7"/>
    <w:rsid w:val="3E8A38E6"/>
    <w:rsid w:val="473923B8"/>
    <w:rsid w:val="588B7C1D"/>
    <w:rsid w:val="61417CB5"/>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287</Words>
  <Characters>289</Characters>
  <Lines>2</Lines>
  <Paragraphs>1</Paragraphs>
  <TotalTime>23</TotalTime>
  <ScaleCrop>false</ScaleCrop>
  <LinksUpToDate>false</LinksUpToDate>
  <CharactersWithSpaces>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ら起點￠永遠</cp:lastModifiedBy>
  <cp:lastPrinted>2026-03-12T03:22:00Z</cp:lastPrinted>
  <dcterms:modified xsi:type="dcterms:W3CDTF">2026-07-15T01:53:29Z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632C1540BE25488F8DD3082E7979136D_13</vt:lpwstr>
  </property>
  <property fmtid="{D5CDD505-2E9C-101B-9397-08002B2CF9AE}" pid="4" name="KSOTemplateDocerSaveRecord">
    <vt:lpwstr>eyJoZGlkIjoiNmYxOWY0ZTI4ZWNhMmYzZTQxMjBiYzljZjU0YjNkZTEiLCJ1c2VySWQiOiIxNDI0OTIxNzg2In0=</vt:lpwstr>
  </property>
</Properties>
</file>