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7A41F">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公告资产清单</w:t>
      </w:r>
    </w:p>
    <w:tbl>
      <w:tblPr>
        <w:tblStyle w:val="3"/>
        <w:tblW w:w="11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67"/>
        <w:gridCol w:w="764"/>
        <w:gridCol w:w="1413"/>
        <w:gridCol w:w="1401"/>
        <w:gridCol w:w="1058"/>
        <w:gridCol w:w="1582"/>
        <w:gridCol w:w="2029"/>
        <w:gridCol w:w="1108"/>
      </w:tblGrid>
      <w:tr w14:paraId="234B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75" w:type="dxa"/>
            <w:gridSpan w:val="9"/>
            <w:noWrap w:val="0"/>
            <w:vAlign w:val="center"/>
          </w:tcPr>
          <w:p w14:paraId="257097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基准日：202</w:t>
            </w:r>
            <w:r>
              <w:rPr>
                <w:rFonts w:hint="eastAsia" w:ascii="宋体" w:hAnsi="宋体" w:cs="宋体"/>
                <w:kern w:val="0"/>
                <w:sz w:val="18"/>
                <w:szCs w:val="18"/>
                <w:lang w:val="en-US" w:eastAsia="zh-CN"/>
              </w:rPr>
              <w:t>6</w:t>
            </w:r>
            <w:r>
              <w:rPr>
                <w:rFonts w:hint="eastAsia" w:ascii="宋体" w:hAnsi="宋体" w:eastAsia="宋体" w:cs="宋体"/>
                <w:kern w:val="0"/>
                <w:sz w:val="18"/>
                <w:szCs w:val="18"/>
              </w:rPr>
              <w:t>年</w:t>
            </w:r>
            <w:r>
              <w:rPr>
                <w:rFonts w:hint="eastAsia" w:ascii="宋体" w:hAnsi="宋体" w:cs="宋体"/>
                <w:kern w:val="0"/>
                <w:sz w:val="18"/>
                <w:szCs w:val="18"/>
                <w:lang w:val="en-US" w:eastAsia="zh-CN"/>
              </w:rPr>
              <w:t>4</w:t>
            </w:r>
            <w:r>
              <w:rPr>
                <w:rFonts w:hint="eastAsia" w:ascii="宋体" w:hAnsi="宋体" w:eastAsia="宋体" w:cs="宋体"/>
                <w:kern w:val="0"/>
                <w:sz w:val="18"/>
                <w:szCs w:val="18"/>
              </w:rPr>
              <w:t xml:space="preserve">月20日       </w:t>
            </w:r>
            <w:r>
              <w:rPr>
                <w:rFonts w:hint="eastAsia" w:ascii="宋体" w:hAnsi="宋体" w:eastAsia="宋体" w:cs="宋体"/>
                <w:kern w:val="0"/>
                <w:sz w:val="18"/>
                <w:szCs w:val="18"/>
                <w:lang w:val="en-US" w:eastAsia="zh-CN"/>
              </w:rPr>
              <w:t xml:space="preserve">           </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 xml:space="preserve">                               货币单位：人民币   元</w:t>
            </w:r>
          </w:p>
        </w:tc>
      </w:tr>
      <w:tr w14:paraId="22E8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53" w:type="dxa"/>
            <w:noWrap w:val="0"/>
            <w:vAlign w:val="center"/>
          </w:tcPr>
          <w:p w14:paraId="4ED61B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167" w:type="dxa"/>
            <w:noWrap w:val="0"/>
            <w:vAlign w:val="center"/>
          </w:tcPr>
          <w:p w14:paraId="54AC1466">
            <w:pPr>
              <w:jc w:val="center"/>
              <w:rPr>
                <w:rFonts w:hint="eastAsia" w:ascii="宋体" w:hAnsi="宋体" w:eastAsia="宋体" w:cs="宋体"/>
                <w:kern w:val="0"/>
                <w:sz w:val="18"/>
                <w:szCs w:val="18"/>
              </w:rPr>
            </w:pPr>
            <w:r>
              <w:rPr>
                <w:rFonts w:hint="eastAsia" w:ascii="宋体" w:hAnsi="宋体" w:eastAsia="宋体" w:cs="宋体"/>
                <w:kern w:val="0"/>
                <w:sz w:val="18"/>
                <w:szCs w:val="18"/>
              </w:rPr>
              <w:t>债务人名称</w:t>
            </w:r>
          </w:p>
        </w:tc>
        <w:tc>
          <w:tcPr>
            <w:tcW w:w="764" w:type="dxa"/>
            <w:noWrap w:val="0"/>
            <w:vAlign w:val="center"/>
          </w:tcPr>
          <w:p w14:paraId="32D5C947">
            <w:pPr>
              <w:jc w:val="center"/>
              <w:rPr>
                <w:rFonts w:hint="eastAsia" w:ascii="宋体" w:hAnsi="宋体" w:eastAsia="宋体" w:cs="宋体"/>
                <w:kern w:val="0"/>
                <w:sz w:val="18"/>
                <w:szCs w:val="18"/>
              </w:rPr>
            </w:pPr>
            <w:r>
              <w:rPr>
                <w:rFonts w:hint="eastAsia" w:ascii="宋体" w:hAnsi="宋体" w:eastAsia="宋体" w:cs="宋体"/>
                <w:kern w:val="0"/>
                <w:sz w:val="18"/>
                <w:szCs w:val="18"/>
              </w:rPr>
              <w:t>地区</w:t>
            </w:r>
          </w:p>
        </w:tc>
        <w:tc>
          <w:tcPr>
            <w:tcW w:w="1413" w:type="dxa"/>
            <w:noWrap w:val="0"/>
            <w:vAlign w:val="center"/>
          </w:tcPr>
          <w:p w14:paraId="0D95ED96">
            <w:pPr>
              <w:jc w:val="center"/>
              <w:rPr>
                <w:rFonts w:hint="eastAsia" w:ascii="宋体" w:hAnsi="宋体" w:eastAsia="宋体" w:cs="宋体"/>
                <w:kern w:val="0"/>
                <w:sz w:val="18"/>
                <w:szCs w:val="18"/>
              </w:rPr>
            </w:pPr>
            <w:r>
              <w:rPr>
                <w:rFonts w:hint="eastAsia" w:ascii="宋体" w:hAnsi="宋体" w:eastAsia="宋体" w:cs="宋体"/>
                <w:kern w:val="0"/>
                <w:sz w:val="18"/>
                <w:szCs w:val="18"/>
              </w:rPr>
              <w:t>本金</w:t>
            </w:r>
          </w:p>
        </w:tc>
        <w:tc>
          <w:tcPr>
            <w:tcW w:w="1401" w:type="dxa"/>
            <w:noWrap w:val="0"/>
            <w:vAlign w:val="center"/>
          </w:tcPr>
          <w:p w14:paraId="1D3E6D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利息</w:t>
            </w:r>
          </w:p>
        </w:tc>
        <w:tc>
          <w:tcPr>
            <w:tcW w:w="1058" w:type="dxa"/>
            <w:noWrap w:val="0"/>
            <w:vAlign w:val="center"/>
          </w:tcPr>
          <w:p w14:paraId="2D0152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其他债权</w:t>
            </w:r>
          </w:p>
        </w:tc>
        <w:tc>
          <w:tcPr>
            <w:tcW w:w="1582" w:type="dxa"/>
            <w:noWrap w:val="0"/>
            <w:vAlign w:val="center"/>
          </w:tcPr>
          <w:p w14:paraId="2477B2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担保人</w:t>
            </w:r>
          </w:p>
        </w:tc>
        <w:tc>
          <w:tcPr>
            <w:tcW w:w="2029" w:type="dxa"/>
            <w:noWrap w:val="0"/>
            <w:vAlign w:val="center"/>
          </w:tcPr>
          <w:p w14:paraId="3BC190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担保物</w:t>
            </w:r>
          </w:p>
        </w:tc>
        <w:tc>
          <w:tcPr>
            <w:tcW w:w="1108" w:type="dxa"/>
            <w:noWrap w:val="0"/>
            <w:vAlign w:val="center"/>
          </w:tcPr>
          <w:p w14:paraId="00A166DA">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瑕疵披露</w:t>
            </w:r>
          </w:p>
        </w:tc>
      </w:tr>
      <w:tr w14:paraId="380D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3" w:type="dxa"/>
            <w:noWrap w:val="0"/>
            <w:vAlign w:val="center"/>
          </w:tcPr>
          <w:p w14:paraId="7C3A52A1">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1</w:t>
            </w:r>
          </w:p>
        </w:tc>
        <w:tc>
          <w:tcPr>
            <w:tcW w:w="1167" w:type="dxa"/>
            <w:noWrap w:val="0"/>
            <w:vAlign w:val="center"/>
          </w:tcPr>
          <w:p w14:paraId="608A6B1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山东省博兴县鲁阳钢铁有限公司</w:t>
            </w:r>
          </w:p>
        </w:tc>
        <w:tc>
          <w:tcPr>
            <w:tcW w:w="764" w:type="dxa"/>
            <w:noWrap w:val="0"/>
            <w:vAlign w:val="center"/>
          </w:tcPr>
          <w:p w14:paraId="5FA236EB">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滨州</w:t>
            </w:r>
            <w:r>
              <w:rPr>
                <w:rFonts w:hint="eastAsia" w:ascii="宋体" w:hAnsi="宋体" w:eastAsia="宋体" w:cs="宋体"/>
                <w:kern w:val="0"/>
                <w:sz w:val="18"/>
                <w:szCs w:val="18"/>
                <w:lang w:val="en-US" w:eastAsia="zh-CN"/>
              </w:rPr>
              <w:t>市博兴县</w:t>
            </w:r>
          </w:p>
        </w:tc>
        <w:tc>
          <w:tcPr>
            <w:tcW w:w="1413" w:type="dxa"/>
            <w:noWrap w:val="0"/>
            <w:vAlign w:val="center"/>
          </w:tcPr>
          <w:p w14:paraId="38B38FF8">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19,448,437.01   </w:t>
            </w:r>
          </w:p>
        </w:tc>
        <w:tc>
          <w:tcPr>
            <w:tcW w:w="1401" w:type="dxa"/>
            <w:noWrap w:val="0"/>
            <w:vAlign w:val="center"/>
          </w:tcPr>
          <w:p w14:paraId="554DE760">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14,230,965.92   </w:t>
            </w:r>
          </w:p>
        </w:tc>
        <w:tc>
          <w:tcPr>
            <w:tcW w:w="1058" w:type="dxa"/>
            <w:noWrap w:val="0"/>
            <w:vAlign w:val="center"/>
          </w:tcPr>
          <w:p w14:paraId="6066E4AB">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82" w:type="dxa"/>
            <w:noWrap w:val="0"/>
            <w:vAlign w:val="center"/>
          </w:tcPr>
          <w:p w14:paraId="3F144EFF">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山东省博兴县金盛泰板业有限公司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魏龙凤、王爱香</w:t>
            </w:r>
            <w:r>
              <w:rPr>
                <w:rFonts w:hint="eastAsia" w:ascii="宋体" w:hAnsi="宋体" w:eastAsia="宋体" w:cs="宋体"/>
                <w:kern w:val="0"/>
                <w:sz w:val="18"/>
                <w:szCs w:val="18"/>
                <w:lang w:eastAsia="zh-CN"/>
              </w:rPr>
              <w:t>、山东省博兴县鲁阳钢铁有限公司</w:t>
            </w:r>
          </w:p>
        </w:tc>
        <w:tc>
          <w:tcPr>
            <w:tcW w:w="2029" w:type="dxa"/>
            <w:noWrap w:val="0"/>
            <w:vAlign w:val="center"/>
          </w:tcPr>
          <w:p w14:paraId="0979876E">
            <w:pPr>
              <w:widowControl/>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rPr>
              <w:t>抵押物1-机器设备</w:t>
            </w:r>
            <w:r>
              <w:rPr>
                <w:rFonts w:hint="eastAsia" w:ascii="宋体" w:hAnsi="宋体" w:cs="宋体"/>
                <w:kern w:val="0"/>
                <w:sz w:val="18"/>
                <w:szCs w:val="18"/>
                <w:lang w:val="en-US" w:eastAsia="zh-CN"/>
              </w:rPr>
              <w:t>，系</w:t>
            </w:r>
            <w:r>
              <w:rPr>
                <w:rFonts w:hint="eastAsia" w:ascii="宋体" w:hAnsi="宋体" w:eastAsia="宋体" w:cs="宋体"/>
                <w:kern w:val="0"/>
                <w:sz w:val="18"/>
                <w:szCs w:val="18"/>
                <w:lang w:val="en-US" w:eastAsia="zh-CN"/>
              </w:rPr>
              <w:t>2套冷轧机组（650MM四辊可逆冷轧机组、450MM四辊可逆冷轧机组），权属为：山东省博兴县鲁阳钢铁有限公司，位于山东省博兴县鲁阳钢铁有限公司厂区内。</w:t>
            </w:r>
          </w:p>
        </w:tc>
        <w:tc>
          <w:tcPr>
            <w:tcW w:w="1108" w:type="dxa"/>
            <w:noWrap w:val="0"/>
            <w:vAlign w:val="center"/>
          </w:tcPr>
          <w:p w14:paraId="33BDCA00">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抵押物被多轮查封，执行及清场难度较大；法院案件积压严重，执行申请进度缓慢。</w:t>
            </w:r>
          </w:p>
        </w:tc>
      </w:tr>
      <w:tr w14:paraId="02E8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3" w:type="dxa"/>
            <w:noWrap w:val="0"/>
            <w:vAlign w:val="center"/>
          </w:tcPr>
          <w:p w14:paraId="28AB675A">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1167" w:type="dxa"/>
            <w:noWrap w:val="0"/>
            <w:vAlign w:val="center"/>
          </w:tcPr>
          <w:p w14:paraId="6E5B42CB">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广饶华誉化工有限公司</w:t>
            </w:r>
          </w:p>
        </w:tc>
        <w:tc>
          <w:tcPr>
            <w:tcW w:w="764" w:type="dxa"/>
            <w:noWrap w:val="0"/>
            <w:vAlign w:val="center"/>
          </w:tcPr>
          <w:p w14:paraId="59533B03">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东营市广饶县</w:t>
            </w:r>
          </w:p>
        </w:tc>
        <w:tc>
          <w:tcPr>
            <w:tcW w:w="1413" w:type="dxa"/>
            <w:noWrap w:val="0"/>
            <w:vAlign w:val="center"/>
          </w:tcPr>
          <w:p w14:paraId="0DE42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9,883,246.29 </w:t>
            </w:r>
          </w:p>
        </w:tc>
        <w:tc>
          <w:tcPr>
            <w:tcW w:w="1401" w:type="dxa"/>
            <w:noWrap w:val="0"/>
            <w:vAlign w:val="center"/>
          </w:tcPr>
          <w:p w14:paraId="54645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16,978,551.92   </w:t>
            </w:r>
          </w:p>
        </w:tc>
        <w:tc>
          <w:tcPr>
            <w:tcW w:w="1058" w:type="dxa"/>
            <w:noWrap w:val="0"/>
            <w:vAlign w:val="center"/>
          </w:tcPr>
          <w:p w14:paraId="693C3B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 </w:t>
            </w:r>
          </w:p>
        </w:tc>
        <w:tc>
          <w:tcPr>
            <w:tcW w:w="1582" w:type="dxa"/>
            <w:noWrap w:val="0"/>
            <w:vAlign w:val="center"/>
          </w:tcPr>
          <w:p w14:paraId="777F5A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广饶县煜立化工有限公司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张寿贵、王秀珍</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封小明、李艳</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广饶华誉化工有限公司</w:t>
            </w:r>
          </w:p>
        </w:tc>
        <w:tc>
          <w:tcPr>
            <w:tcW w:w="2029" w:type="dxa"/>
            <w:noWrap w:val="0"/>
            <w:vAlign w:val="center"/>
          </w:tcPr>
          <w:p w14:paraId="1962B2F7">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抵押物1-机器设备138台/套，系树脂二级酸生产线的核心装置，权属为广饶华誉化工有限公司，位于东营市广饶县经济开发区债务人院内。</w:t>
            </w:r>
          </w:p>
          <w:p w14:paraId="3FA93A18">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抵押物</w:t>
            </w:r>
            <w:r>
              <w:rPr>
                <w:rFonts w:hint="eastAsia" w:ascii="宋体" w:hAnsi="宋体" w:eastAsia="宋体" w:cs="宋体"/>
                <w:kern w:val="0"/>
                <w:sz w:val="18"/>
                <w:szCs w:val="18"/>
                <w:lang w:val="en-US" w:eastAsia="zh-CN"/>
              </w:rPr>
              <w:t>2-住宅，面积180.47平方米，其中，住宅137.56平方米、车库33.22平方米、储藏室9.69平方米</w:t>
            </w:r>
            <w:r>
              <w:rPr>
                <w:rFonts w:hint="eastAsia" w:ascii="宋体" w:hAnsi="宋体" w:cs="宋体"/>
                <w:kern w:val="0"/>
                <w:sz w:val="18"/>
                <w:szCs w:val="18"/>
                <w:lang w:val="en-US" w:eastAsia="zh-CN"/>
              </w:rPr>
              <w:t>，</w:t>
            </w:r>
            <w:r>
              <w:rPr>
                <w:rFonts w:hint="eastAsia" w:ascii="宋体" w:hAnsi="宋体" w:eastAsia="宋体" w:cs="宋体"/>
                <w:kern w:val="0"/>
                <w:sz w:val="18"/>
                <w:szCs w:val="18"/>
                <w:lang w:val="en-US" w:eastAsia="zh-CN"/>
              </w:rPr>
              <w:t>权属为张寿贵、王秀珍，位于东营市广饶县西苑小区97#楼东二单元四层西户。</w:t>
            </w:r>
          </w:p>
        </w:tc>
        <w:tc>
          <w:tcPr>
            <w:tcW w:w="1108" w:type="dxa"/>
            <w:noWrap w:val="0"/>
            <w:vAlign w:val="center"/>
          </w:tcPr>
          <w:p w14:paraId="215C6ED9">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债务人等已停止经营且涉诉严重。</w:t>
            </w:r>
          </w:p>
        </w:tc>
      </w:tr>
      <w:tr w14:paraId="7B82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53" w:type="dxa"/>
            <w:noWrap w:val="0"/>
            <w:vAlign w:val="center"/>
          </w:tcPr>
          <w:p w14:paraId="48A688AA">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167" w:type="dxa"/>
            <w:noWrap w:val="0"/>
            <w:vAlign w:val="center"/>
          </w:tcPr>
          <w:p w14:paraId="1496EC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东营德昭实业有限公司</w:t>
            </w:r>
          </w:p>
        </w:tc>
        <w:tc>
          <w:tcPr>
            <w:tcW w:w="764" w:type="dxa"/>
            <w:noWrap w:val="0"/>
            <w:vAlign w:val="center"/>
          </w:tcPr>
          <w:p w14:paraId="2D7BB057">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东营市广饶县</w:t>
            </w:r>
          </w:p>
        </w:tc>
        <w:tc>
          <w:tcPr>
            <w:tcW w:w="1413" w:type="dxa"/>
            <w:noWrap w:val="0"/>
            <w:vAlign w:val="center"/>
          </w:tcPr>
          <w:p w14:paraId="500BD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1,993,815.84 </w:t>
            </w:r>
          </w:p>
        </w:tc>
        <w:tc>
          <w:tcPr>
            <w:tcW w:w="1401" w:type="dxa"/>
            <w:noWrap w:val="0"/>
            <w:vAlign w:val="center"/>
          </w:tcPr>
          <w:p w14:paraId="39B95F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1,670,501.55    </w:t>
            </w:r>
          </w:p>
        </w:tc>
        <w:tc>
          <w:tcPr>
            <w:tcW w:w="1058" w:type="dxa"/>
            <w:noWrap w:val="0"/>
            <w:vAlign w:val="center"/>
          </w:tcPr>
          <w:p w14:paraId="377413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 </w:t>
            </w:r>
          </w:p>
        </w:tc>
        <w:tc>
          <w:tcPr>
            <w:tcW w:w="1582" w:type="dxa"/>
            <w:noWrap w:val="0"/>
            <w:vAlign w:val="center"/>
          </w:tcPr>
          <w:p w14:paraId="3670CF47">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山东圣光化工集团有限公司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东营市亚坤旺奇新型建材有限公司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李恒亮、于秋玲</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张云芝、宋路超</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聂士超、李霞</w:t>
            </w:r>
          </w:p>
        </w:tc>
        <w:tc>
          <w:tcPr>
            <w:tcW w:w="2029" w:type="dxa"/>
            <w:noWrap w:val="0"/>
            <w:vAlign w:val="center"/>
          </w:tcPr>
          <w:p w14:paraId="0553A904">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抵押物1-仓储用地及仓储用房，房产面积156.62平方米，土地面积205.00平方米，权属为东营市亚坤旺奇新型建材有限公司，位于东营市广饶县何辛路以东。</w:t>
            </w:r>
          </w:p>
        </w:tc>
        <w:tc>
          <w:tcPr>
            <w:tcW w:w="1108" w:type="dxa"/>
            <w:noWrap w:val="0"/>
            <w:vAlign w:val="center"/>
          </w:tcPr>
          <w:p w14:paraId="4DFACBAE">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债务人等已停止经营且涉诉严重。</w:t>
            </w:r>
          </w:p>
        </w:tc>
      </w:tr>
      <w:tr w14:paraId="63D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3" w:type="dxa"/>
            <w:noWrap w:val="0"/>
            <w:vAlign w:val="center"/>
          </w:tcPr>
          <w:p w14:paraId="2FD67760">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167" w:type="dxa"/>
            <w:noWrap w:val="0"/>
            <w:vAlign w:val="center"/>
          </w:tcPr>
          <w:p w14:paraId="215F9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临沂巴士公交有限责任公司</w:t>
            </w:r>
          </w:p>
        </w:tc>
        <w:tc>
          <w:tcPr>
            <w:tcW w:w="764" w:type="dxa"/>
            <w:noWrap w:val="0"/>
            <w:vAlign w:val="center"/>
          </w:tcPr>
          <w:p w14:paraId="0976F83A">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临沂市罗庄区</w:t>
            </w:r>
          </w:p>
        </w:tc>
        <w:tc>
          <w:tcPr>
            <w:tcW w:w="1413" w:type="dxa"/>
            <w:noWrap w:val="0"/>
            <w:vAlign w:val="center"/>
          </w:tcPr>
          <w:p w14:paraId="609D3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1,584,005.88 </w:t>
            </w:r>
          </w:p>
        </w:tc>
        <w:tc>
          <w:tcPr>
            <w:tcW w:w="1401" w:type="dxa"/>
            <w:noWrap w:val="0"/>
            <w:vAlign w:val="center"/>
          </w:tcPr>
          <w:p w14:paraId="3BED0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6,107,153.94   </w:t>
            </w:r>
          </w:p>
        </w:tc>
        <w:tc>
          <w:tcPr>
            <w:tcW w:w="1058" w:type="dxa"/>
            <w:noWrap w:val="0"/>
            <w:vAlign w:val="center"/>
          </w:tcPr>
          <w:p w14:paraId="41F58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27,070.00 </w:t>
            </w:r>
          </w:p>
        </w:tc>
        <w:tc>
          <w:tcPr>
            <w:tcW w:w="1582" w:type="dxa"/>
            <w:noWrap w:val="0"/>
            <w:vAlign w:val="center"/>
          </w:tcPr>
          <w:p w14:paraId="2451B6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山东三木园林工程有限公司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徐恩义、佘高峰、徐敏、安宝忠、周夺魈</w:t>
            </w:r>
          </w:p>
        </w:tc>
        <w:tc>
          <w:tcPr>
            <w:tcW w:w="2029" w:type="dxa"/>
            <w:noWrap w:val="0"/>
            <w:vAlign w:val="center"/>
          </w:tcPr>
          <w:p w14:paraId="048ED3A8">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无</w:t>
            </w:r>
            <w:bookmarkStart w:id="0" w:name="_GoBack"/>
            <w:bookmarkEnd w:id="0"/>
          </w:p>
        </w:tc>
        <w:tc>
          <w:tcPr>
            <w:tcW w:w="1108" w:type="dxa"/>
            <w:noWrap w:val="0"/>
            <w:vAlign w:val="center"/>
          </w:tcPr>
          <w:p w14:paraId="0B9C5E9C">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债务人等已停止经营。</w:t>
            </w:r>
          </w:p>
        </w:tc>
      </w:tr>
      <w:tr w14:paraId="2C76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53" w:type="dxa"/>
            <w:noWrap w:val="0"/>
            <w:vAlign w:val="center"/>
          </w:tcPr>
          <w:p w14:paraId="174F62E3">
            <w:pPr>
              <w:widowControl/>
              <w:jc w:val="center"/>
              <w:rPr>
                <w:rFonts w:hint="eastAsia" w:ascii="宋体" w:hAnsi="宋体" w:eastAsia="宋体" w:cs="宋体"/>
                <w:kern w:val="0"/>
                <w:sz w:val="18"/>
                <w:szCs w:val="18"/>
                <w:lang w:val="en-US" w:eastAsia="zh-CN"/>
              </w:rPr>
            </w:pPr>
          </w:p>
        </w:tc>
        <w:tc>
          <w:tcPr>
            <w:tcW w:w="1167" w:type="dxa"/>
            <w:noWrap w:val="0"/>
            <w:vAlign w:val="center"/>
          </w:tcPr>
          <w:p w14:paraId="1847462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764" w:type="dxa"/>
            <w:noWrap w:val="0"/>
            <w:vAlign w:val="center"/>
          </w:tcPr>
          <w:p w14:paraId="4E81B43E">
            <w:pPr>
              <w:widowControl/>
              <w:jc w:val="center"/>
              <w:rPr>
                <w:rFonts w:hint="eastAsia" w:ascii="宋体" w:hAnsi="宋体" w:eastAsia="宋体" w:cs="宋体"/>
                <w:b/>
                <w:bCs/>
                <w:kern w:val="0"/>
                <w:sz w:val="18"/>
                <w:szCs w:val="18"/>
                <w:lang w:val="en-US" w:eastAsia="zh-CN"/>
              </w:rPr>
            </w:pPr>
          </w:p>
        </w:tc>
        <w:tc>
          <w:tcPr>
            <w:tcW w:w="1413" w:type="dxa"/>
            <w:noWrap w:val="0"/>
            <w:vAlign w:val="center"/>
          </w:tcPr>
          <w:p w14:paraId="66E074C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32,909,505.02    </w:t>
            </w:r>
          </w:p>
        </w:tc>
        <w:tc>
          <w:tcPr>
            <w:tcW w:w="1401" w:type="dxa"/>
            <w:noWrap w:val="0"/>
            <w:vAlign w:val="center"/>
          </w:tcPr>
          <w:p w14:paraId="0EB2462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38,987,173.32    </w:t>
            </w:r>
          </w:p>
        </w:tc>
        <w:tc>
          <w:tcPr>
            <w:tcW w:w="1058" w:type="dxa"/>
            <w:noWrap w:val="0"/>
            <w:vAlign w:val="center"/>
          </w:tcPr>
          <w:p w14:paraId="466B7D8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 xml:space="preserve">27,070.00     </w:t>
            </w:r>
          </w:p>
        </w:tc>
        <w:tc>
          <w:tcPr>
            <w:tcW w:w="1582" w:type="dxa"/>
            <w:noWrap w:val="0"/>
            <w:vAlign w:val="center"/>
          </w:tcPr>
          <w:p w14:paraId="636C6833">
            <w:pPr>
              <w:widowControl/>
              <w:jc w:val="center"/>
              <w:rPr>
                <w:rFonts w:hint="eastAsia" w:ascii="宋体" w:hAnsi="宋体" w:eastAsia="宋体" w:cs="宋体"/>
                <w:kern w:val="0"/>
                <w:sz w:val="18"/>
                <w:szCs w:val="18"/>
              </w:rPr>
            </w:pPr>
          </w:p>
        </w:tc>
        <w:tc>
          <w:tcPr>
            <w:tcW w:w="2029" w:type="dxa"/>
            <w:noWrap w:val="0"/>
            <w:vAlign w:val="center"/>
          </w:tcPr>
          <w:p w14:paraId="0E7C5710">
            <w:pPr>
              <w:widowControl/>
              <w:jc w:val="center"/>
              <w:rPr>
                <w:rFonts w:hint="eastAsia" w:ascii="宋体" w:hAnsi="宋体" w:eastAsia="宋体" w:cs="宋体"/>
                <w:kern w:val="0"/>
                <w:sz w:val="18"/>
                <w:szCs w:val="18"/>
                <w:lang w:val="en-US" w:eastAsia="zh-CN"/>
              </w:rPr>
            </w:pPr>
          </w:p>
        </w:tc>
        <w:tc>
          <w:tcPr>
            <w:tcW w:w="1108" w:type="dxa"/>
            <w:noWrap w:val="0"/>
            <w:vAlign w:val="center"/>
          </w:tcPr>
          <w:p w14:paraId="03BB4789">
            <w:pPr>
              <w:widowControl/>
              <w:jc w:val="center"/>
              <w:rPr>
                <w:rFonts w:hint="eastAsia" w:ascii="宋体" w:hAnsi="宋体" w:eastAsia="宋体" w:cs="宋体"/>
                <w:kern w:val="0"/>
                <w:sz w:val="18"/>
                <w:szCs w:val="18"/>
                <w:lang w:val="en-US" w:eastAsia="zh-CN"/>
              </w:rPr>
            </w:pPr>
          </w:p>
        </w:tc>
      </w:tr>
    </w:tbl>
    <w:p w14:paraId="16BAFE03">
      <w:pPr>
        <w:widowControl/>
        <w:spacing w:line="360" w:lineRule="auto"/>
        <w:ind w:firstLine="480" w:firstLineChars="200"/>
        <w:jc w:val="both"/>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注：1</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本公告清单仅列示截至基准日的债权本金、利息</w:t>
      </w:r>
      <w:r>
        <w:rPr>
          <w:rFonts w:hint="eastAsia" w:ascii="宋体" w:hAnsi="宋体" w:cs="宋体"/>
          <w:kern w:val="0"/>
          <w:sz w:val="24"/>
          <w:szCs w:val="24"/>
          <w:highlight w:val="none"/>
          <w:lang w:val="en-US" w:eastAsia="zh-CN"/>
        </w:rPr>
        <w:t>余额及</w:t>
      </w:r>
      <w:r>
        <w:rPr>
          <w:rFonts w:hint="eastAsia" w:ascii="宋体" w:hAnsi="宋体" w:cs="宋体"/>
          <w:kern w:val="0"/>
          <w:sz w:val="24"/>
          <w:szCs w:val="24"/>
          <w:highlight w:val="none"/>
        </w:rPr>
        <w:t>其他债权，基准日后债务人和担保人应支付的利息、违约金、相关费用等按照相关合同协议、生效法律文书及法律法规的规定计算。</w:t>
      </w:r>
    </w:p>
    <w:p w14:paraId="5262B552">
      <w:pPr>
        <w:widowControl/>
        <w:spacing w:line="360" w:lineRule="auto"/>
        <w:ind w:firstLine="481"/>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若债务人、担保人因各种原因更名、改制、歇业、吊销营业执照或丧失民事主体资格的，请相关承债主体及/或主管部门代为履行义务或履行清算责任。若本清单中担保人名单出现遗漏、笔误的，并不意味着中国中信金融资产管理股份有限公司山东省分公司对其担保责任的免除，担保人仍须按合同约定及法律规定履行担保责任。</w:t>
      </w:r>
    </w:p>
    <w:p w14:paraId="2164CA3C">
      <w:pPr>
        <w:widowControl/>
        <w:spacing w:line="360" w:lineRule="auto"/>
        <w:ind w:firstLine="481"/>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3.清单中的“担保人”包括保证人、抵押人、出质人。</w:t>
      </w:r>
    </w:p>
    <w:p w14:paraId="21A54D82">
      <w:pPr>
        <w:widowControl/>
        <w:spacing w:line="360" w:lineRule="auto"/>
        <w:ind w:firstLine="481"/>
        <w:jc w:val="both"/>
      </w:pPr>
      <w:r>
        <w:rPr>
          <w:rFonts w:hint="eastAsia" w:ascii="宋体" w:hAnsi="宋体" w:cs="宋体"/>
          <w:kern w:val="0"/>
          <w:sz w:val="24"/>
          <w:szCs w:val="24"/>
          <w:highlight w:val="none"/>
          <w:lang w:val="en-US" w:eastAsia="zh-CN"/>
        </w:rPr>
        <w:t>4.如清单中债务人、债权金额、担保人等信息与事实不符的，以相关合同、生效法律文书等为准</w:t>
      </w:r>
      <w:r>
        <w:rPr>
          <w:rFonts w:hint="eastAsia" w:ascii="宋体" w:hAnsi="宋体" w:cs="宋体"/>
          <w:kern w:val="0"/>
          <w:sz w:val="24"/>
          <w:szCs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B7F28"/>
    <w:rsid w:val="092F7DA0"/>
    <w:rsid w:val="1AB5051A"/>
    <w:rsid w:val="1CB74012"/>
    <w:rsid w:val="24091D8C"/>
    <w:rsid w:val="3C237FF0"/>
    <w:rsid w:val="4A6D7538"/>
    <w:rsid w:val="4C692208"/>
    <w:rsid w:val="4C8F0EE5"/>
    <w:rsid w:val="4EB969C3"/>
    <w:rsid w:val="712B0D4F"/>
    <w:rsid w:val="78E55DEC"/>
    <w:rsid w:val="7AC92789"/>
    <w:rsid w:val="7B21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2024-06-13T03:06:00Z</dcterms:created>
  <dc:creator>leihou</dc:creator>
  <cp:lastModifiedBy>侯磊</cp:lastModifiedBy>
  <dcterms:modified xsi:type="dcterms:W3CDTF">2026-05-25T03:12:08Z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C62563BC6FA44223833E7A503C88479F</vt:lpwstr>
  </property>
</Properties>
</file>