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1797AF">
      <w:pPr>
        <w:pStyle w:val="2"/>
        <w:rPr>
          <w:rFonts w:ascii="仿宋_GB2312" w:eastAsia="仿宋_GB2312"/>
          <w:color w:val="auto"/>
          <w:sz w:val="32"/>
          <w:szCs w:val="32"/>
        </w:rPr>
      </w:pPr>
    </w:p>
    <w:p w14:paraId="71BF5EDF">
      <w:pPr>
        <w:pStyle w:val="2"/>
        <w:rPr>
          <w:rFonts w:ascii="仿宋_GB2312" w:eastAsia="仿宋_GB2312"/>
          <w:color w:val="auto"/>
          <w:sz w:val="32"/>
          <w:szCs w:val="32"/>
        </w:rPr>
      </w:pPr>
    </w:p>
    <w:p w14:paraId="636D90F9">
      <w:pPr>
        <w:keepNext w:val="0"/>
        <w:keepLines w:val="0"/>
        <w:widowControl/>
        <w:suppressLineNumbers w:val="0"/>
        <w:wordWrap w:val="0"/>
        <w:jc w:val="right"/>
        <w:textAlignment w:val="center"/>
        <w:rPr>
          <w:rFonts w:hint="default" w:ascii="宋体" w:hAnsi="宋体" w:eastAsia="宋体" w:cs="宋体"/>
          <w:i w:val="0"/>
          <w:iCs w:val="0"/>
          <w:color w:val="auto"/>
          <w:kern w:val="0"/>
          <w:sz w:val="20"/>
          <w:szCs w:val="2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0"/>
          <w:szCs w:val="20"/>
          <w:u w:val="none"/>
          <w:lang w:val="en-US" w:eastAsia="zh-CN" w:bidi="ar"/>
        </w:rPr>
        <w:t>基准日：2025年</w:t>
      </w:r>
      <w:r>
        <w:rPr>
          <w:rFonts w:hint="eastAsia" w:ascii="宋体" w:hAnsi="宋体" w:cs="宋体"/>
          <w:i w:val="0"/>
          <w:iCs w:val="0"/>
          <w:color w:val="auto"/>
          <w:kern w:val="0"/>
          <w:sz w:val="20"/>
          <w:szCs w:val="20"/>
          <w:u w:val="none"/>
          <w:lang w:val="en-US" w:eastAsia="zh-CN" w:bidi="ar"/>
        </w:rPr>
        <w:t>9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0"/>
          <w:szCs w:val="20"/>
          <w:u w:val="none"/>
          <w:lang w:val="en-US" w:eastAsia="zh-CN" w:bidi="ar"/>
        </w:rPr>
        <w:t>月20日                                           单位：人民币</w:t>
      </w:r>
      <w:r>
        <w:rPr>
          <w:rFonts w:hint="eastAsia" w:ascii="宋体" w:hAnsi="宋体" w:cs="宋体"/>
          <w:i w:val="0"/>
          <w:iCs w:val="0"/>
          <w:color w:val="auto"/>
          <w:kern w:val="0"/>
          <w:sz w:val="20"/>
          <w:szCs w:val="20"/>
          <w:u w:val="none"/>
          <w:lang w:val="en-US" w:eastAsia="zh-CN" w:bidi="ar"/>
        </w:rPr>
        <w:t xml:space="preserve"> 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0"/>
          <w:szCs w:val="20"/>
          <w:u w:val="none"/>
          <w:lang w:val="en-US" w:eastAsia="zh-CN" w:bidi="ar"/>
        </w:rPr>
        <w:t>元</w:t>
      </w:r>
    </w:p>
    <w:tbl>
      <w:tblPr>
        <w:tblStyle w:val="3"/>
        <w:tblpPr w:leftFromText="180" w:rightFromText="180" w:vertAnchor="text" w:horzAnchor="page" w:tblpX="1415" w:tblpY="75"/>
        <w:tblOverlap w:val="never"/>
        <w:tblW w:w="537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3"/>
        <w:gridCol w:w="1261"/>
        <w:gridCol w:w="1588"/>
        <w:gridCol w:w="1624"/>
        <w:gridCol w:w="1344"/>
        <w:gridCol w:w="1592"/>
        <w:gridCol w:w="1073"/>
      </w:tblGrid>
      <w:tr w14:paraId="0FBAE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372" w:type="pct"/>
            <w:shd w:val="clear" w:color="auto" w:fill="auto"/>
            <w:noWrap/>
            <w:vAlign w:val="center"/>
          </w:tcPr>
          <w:p w14:paraId="0091A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687" w:type="pct"/>
            <w:shd w:val="clear" w:color="auto" w:fill="auto"/>
            <w:noWrap/>
            <w:vAlign w:val="center"/>
          </w:tcPr>
          <w:p w14:paraId="69722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债务人</w:t>
            </w:r>
          </w:p>
        </w:tc>
        <w:tc>
          <w:tcPr>
            <w:tcW w:w="866" w:type="pct"/>
            <w:shd w:val="clear" w:color="auto" w:fill="FFFFFF"/>
            <w:noWrap w:val="0"/>
            <w:vAlign w:val="center"/>
          </w:tcPr>
          <w:p w14:paraId="3F1A1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债权本金</w:t>
            </w:r>
          </w:p>
        </w:tc>
        <w:tc>
          <w:tcPr>
            <w:tcW w:w="885" w:type="pct"/>
            <w:shd w:val="clear" w:color="auto" w:fill="FFFFFF"/>
            <w:noWrap w:val="0"/>
            <w:vAlign w:val="center"/>
          </w:tcPr>
          <w:p w14:paraId="11716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债权利息（含孳息）</w:t>
            </w:r>
          </w:p>
        </w:tc>
        <w:tc>
          <w:tcPr>
            <w:tcW w:w="733" w:type="pct"/>
            <w:noWrap/>
            <w:vAlign w:val="center"/>
          </w:tcPr>
          <w:p w14:paraId="3B34F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其他债权</w:t>
            </w:r>
          </w:p>
        </w:tc>
        <w:tc>
          <w:tcPr>
            <w:tcW w:w="868" w:type="pct"/>
            <w:noWrap/>
            <w:vAlign w:val="center"/>
          </w:tcPr>
          <w:p w14:paraId="4A482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担保人</w:t>
            </w:r>
          </w:p>
        </w:tc>
        <w:tc>
          <w:tcPr>
            <w:tcW w:w="585" w:type="pct"/>
            <w:noWrap/>
            <w:vAlign w:val="center"/>
          </w:tcPr>
          <w:p w14:paraId="1031D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担保物</w:t>
            </w:r>
          </w:p>
        </w:tc>
      </w:tr>
      <w:tr w14:paraId="73943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372" w:type="pct"/>
            <w:noWrap/>
            <w:vAlign w:val="center"/>
          </w:tcPr>
          <w:p w14:paraId="56CB126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87" w:type="pct"/>
            <w:noWrap/>
            <w:vAlign w:val="center"/>
          </w:tcPr>
          <w:p w14:paraId="07F14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山东奥尔通化工有限公司</w:t>
            </w:r>
          </w:p>
        </w:tc>
        <w:tc>
          <w:tcPr>
            <w:tcW w:w="866" w:type="pct"/>
            <w:noWrap w:val="0"/>
            <w:vAlign w:val="center"/>
          </w:tcPr>
          <w:p w14:paraId="3187E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10,999,997.35</w:t>
            </w:r>
          </w:p>
        </w:tc>
        <w:tc>
          <w:tcPr>
            <w:tcW w:w="885" w:type="pct"/>
            <w:noWrap w:val="0"/>
            <w:vAlign w:val="center"/>
          </w:tcPr>
          <w:p w14:paraId="2A87B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3,191,463.90</w:t>
            </w:r>
          </w:p>
        </w:tc>
        <w:tc>
          <w:tcPr>
            <w:tcW w:w="733" w:type="pct"/>
            <w:noWrap/>
            <w:vAlign w:val="center"/>
          </w:tcPr>
          <w:p w14:paraId="3CD3C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43,900.00</w:t>
            </w:r>
          </w:p>
        </w:tc>
        <w:tc>
          <w:tcPr>
            <w:tcW w:w="868" w:type="pct"/>
            <w:noWrap/>
            <w:vAlign w:val="center"/>
          </w:tcPr>
          <w:p w14:paraId="61DDD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山东奥尔通化工有限公司、刘学海、王玥玲、刘思远、张雯</w:t>
            </w:r>
          </w:p>
        </w:tc>
        <w:tc>
          <w:tcPr>
            <w:tcW w:w="585" w:type="pct"/>
            <w:noWrap/>
            <w:vAlign w:val="center"/>
          </w:tcPr>
          <w:p w14:paraId="713D9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工业房地产</w:t>
            </w:r>
          </w:p>
        </w:tc>
      </w:tr>
      <w:tr w14:paraId="58219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372" w:type="pct"/>
            <w:noWrap/>
            <w:vAlign w:val="center"/>
          </w:tcPr>
          <w:p w14:paraId="3624C8D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687" w:type="pct"/>
            <w:noWrap/>
            <w:vAlign w:val="center"/>
          </w:tcPr>
          <w:p w14:paraId="41BE9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金乡县华盛彩印包装制品有限公司</w:t>
            </w:r>
          </w:p>
        </w:tc>
        <w:tc>
          <w:tcPr>
            <w:tcW w:w="866" w:type="pct"/>
            <w:noWrap w:val="0"/>
            <w:vAlign w:val="center"/>
          </w:tcPr>
          <w:p w14:paraId="03F6B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3,959,999.36</w:t>
            </w:r>
          </w:p>
        </w:tc>
        <w:tc>
          <w:tcPr>
            <w:tcW w:w="885" w:type="pct"/>
            <w:noWrap w:val="0"/>
            <w:vAlign w:val="center"/>
          </w:tcPr>
          <w:p w14:paraId="1B725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1,635,053.71</w:t>
            </w:r>
          </w:p>
        </w:tc>
        <w:tc>
          <w:tcPr>
            <w:tcW w:w="733" w:type="pct"/>
            <w:noWrap/>
            <w:vAlign w:val="center"/>
          </w:tcPr>
          <w:p w14:paraId="0D0E9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25,900.00</w:t>
            </w:r>
          </w:p>
        </w:tc>
        <w:tc>
          <w:tcPr>
            <w:tcW w:w="868" w:type="pct"/>
            <w:noWrap/>
            <w:vAlign w:val="center"/>
          </w:tcPr>
          <w:p w14:paraId="1523E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金乡县华盛彩印包装制品有限公司、赵敬华、常美红、崔俊峰、崔小娥</w:t>
            </w:r>
          </w:p>
        </w:tc>
        <w:tc>
          <w:tcPr>
            <w:tcW w:w="585" w:type="pct"/>
            <w:noWrap/>
            <w:vAlign w:val="center"/>
          </w:tcPr>
          <w:p w14:paraId="183DA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工业房地产</w:t>
            </w:r>
          </w:p>
        </w:tc>
      </w:tr>
      <w:tr w14:paraId="00AB6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372" w:type="pct"/>
            <w:noWrap/>
            <w:vAlign w:val="center"/>
          </w:tcPr>
          <w:p w14:paraId="7C726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87" w:type="pct"/>
            <w:noWrap/>
            <w:vAlign w:val="center"/>
          </w:tcPr>
          <w:p w14:paraId="6A0A7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山东浒泊制粉有限公司</w:t>
            </w:r>
          </w:p>
        </w:tc>
        <w:tc>
          <w:tcPr>
            <w:tcW w:w="866" w:type="pct"/>
            <w:noWrap w:val="0"/>
            <w:vAlign w:val="center"/>
          </w:tcPr>
          <w:p w14:paraId="22CA9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4,400,000.00</w:t>
            </w:r>
          </w:p>
        </w:tc>
        <w:tc>
          <w:tcPr>
            <w:tcW w:w="885" w:type="pct"/>
            <w:noWrap w:val="0"/>
            <w:vAlign w:val="center"/>
          </w:tcPr>
          <w:p w14:paraId="5E433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2,158,211.00</w:t>
            </w:r>
          </w:p>
        </w:tc>
        <w:tc>
          <w:tcPr>
            <w:tcW w:w="733" w:type="pct"/>
            <w:noWrap/>
            <w:vAlign w:val="center"/>
          </w:tcPr>
          <w:p w14:paraId="2691B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21,000.00</w:t>
            </w:r>
          </w:p>
        </w:tc>
        <w:tc>
          <w:tcPr>
            <w:tcW w:w="868" w:type="pct"/>
            <w:noWrap/>
            <w:vAlign w:val="center"/>
          </w:tcPr>
          <w:p w14:paraId="370DE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山东浒泊制粉有限公司、梁山县凯越纺织有限公司、赵伟</w:t>
            </w:r>
          </w:p>
        </w:tc>
        <w:tc>
          <w:tcPr>
            <w:tcW w:w="585" w:type="pct"/>
            <w:noWrap/>
            <w:vAlign w:val="center"/>
          </w:tcPr>
          <w:p w14:paraId="1BF42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机器设备、厂房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（无产权证）</w:t>
            </w:r>
          </w:p>
        </w:tc>
      </w:tr>
      <w:tr w14:paraId="7B78E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372" w:type="pct"/>
            <w:noWrap/>
            <w:vAlign w:val="center"/>
          </w:tcPr>
          <w:p w14:paraId="755AD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687" w:type="pct"/>
            <w:noWrap/>
            <w:vAlign w:val="center"/>
          </w:tcPr>
          <w:p w14:paraId="1B3EF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淄博桑特动力设备有限公司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（破产终结）</w:t>
            </w:r>
          </w:p>
        </w:tc>
        <w:tc>
          <w:tcPr>
            <w:tcW w:w="866" w:type="pct"/>
            <w:noWrap w:val="0"/>
            <w:vAlign w:val="center"/>
          </w:tcPr>
          <w:p w14:paraId="446D9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3,933,612.91</w:t>
            </w:r>
          </w:p>
        </w:tc>
        <w:tc>
          <w:tcPr>
            <w:tcW w:w="885" w:type="pct"/>
            <w:noWrap w:val="0"/>
            <w:vAlign w:val="center"/>
          </w:tcPr>
          <w:p w14:paraId="15D5D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3,966,072.12</w:t>
            </w:r>
          </w:p>
        </w:tc>
        <w:tc>
          <w:tcPr>
            <w:tcW w:w="733" w:type="pct"/>
            <w:noWrap/>
            <w:vAlign w:val="center"/>
          </w:tcPr>
          <w:p w14:paraId="5BFE8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0.00</w:t>
            </w:r>
          </w:p>
        </w:tc>
        <w:tc>
          <w:tcPr>
            <w:tcW w:w="868" w:type="pct"/>
            <w:noWrap/>
            <w:vAlign w:val="center"/>
          </w:tcPr>
          <w:p w14:paraId="7E124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山东中瑞电气有限公司、山东桑特节能工程有限公司、吕华锋、沈悦</w:t>
            </w:r>
          </w:p>
        </w:tc>
        <w:tc>
          <w:tcPr>
            <w:tcW w:w="585" w:type="pct"/>
            <w:noWrap/>
            <w:vAlign w:val="center"/>
          </w:tcPr>
          <w:p w14:paraId="54F68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无</w:t>
            </w:r>
          </w:p>
        </w:tc>
      </w:tr>
      <w:tr w14:paraId="04F5F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372" w:type="pct"/>
            <w:noWrap/>
            <w:vAlign w:val="center"/>
          </w:tcPr>
          <w:p w14:paraId="45CD3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687" w:type="pct"/>
            <w:noWrap/>
            <w:vAlign w:val="center"/>
          </w:tcPr>
          <w:p w14:paraId="253E5824"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烟台鑫丰肥料有限公司</w:t>
            </w:r>
          </w:p>
        </w:tc>
        <w:tc>
          <w:tcPr>
            <w:tcW w:w="866" w:type="pct"/>
            <w:noWrap w:val="0"/>
            <w:vAlign w:val="center"/>
          </w:tcPr>
          <w:p w14:paraId="51D97DF7"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54,607,339.59</w:t>
            </w:r>
          </w:p>
        </w:tc>
        <w:tc>
          <w:tcPr>
            <w:tcW w:w="885" w:type="pct"/>
            <w:noWrap w:val="0"/>
            <w:vAlign w:val="center"/>
          </w:tcPr>
          <w:p w14:paraId="2281000D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68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,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162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,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269.21</w:t>
            </w:r>
          </w:p>
        </w:tc>
        <w:tc>
          <w:tcPr>
            <w:tcW w:w="733" w:type="pct"/>
            <w:noWrap/>
            <w:vAlign w:val="center"/>
          </w:tcPr>
          <w:p w14:paraId="7AD35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0.00</w:t>
            </w:r>
          </w:p>
        </w:tc>
        <w:tc>
          <w:tcPr>
            <w:tcW w:w="868" w:type="pct"/>
            <w:noWrap/>
            <w:vAlign w:val="center"/>
          </w:tcPr>
          <w:p w14:paraId="08C2114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烟台中谷肥料有限公司</w:t>
            </w:r>
          </w:p>
        </w:tc>
        <w:tc>
          <w:tcPr>
            <w:tcW w:w="585" w:type="pct"/>
            <w:noWrap/>
            <w:vAlign w:val="center"/>
          </w:tcPr>
          <w:p w14:paraId="58883521">
            <w:pPr>
              <w:widowControl/>
              <w:jc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无</w:t>
            </w:r>
          </w:p>
        </w:tc>
      </w:tr>
      <w:tr w14:paraId="2D52B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372" w:type="pct"/>
            <w:noWrap/>
            <w:vAlign w:val="center"/>
          </w:tcPr>
          <w:p w14:paraId="084A3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687" w:type="pct"/>
            <w:noWrap/>
            <w:vAlign w:val="center"/>
          </w:tcPr>
          <w:p w14:paraId="6C201377"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蓝梦食品（烟台）有限公司</w:t>
            </w:r>
          </w:p>
        </w:tc>
        <w:tc>
          <w:tcPr>
            <w:tcW w:w="866" w:type="pct"/>
            <w:noWrap w:val="0"/>
            <w:vAlign w:val="center"/>
          </w:tcPr>
          <w:p w14:paraId="75275F28"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3,740,110.46</w:t>
            </w:r>
          </w:p>
        </w:tc>
        <w:tc>
          <w:tcPr>
            <w:tcW w:w="885" w:type="pct"/>
            <w:noWrap w:val="0"/>
            <w:vAlign w:val="center"/>
          </w:tcPr>
          <w:p w14:paraId="09049738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,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523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,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501.4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733" w:type="pct"/>
            <w:noWrap/>
            <w:vAlign w:val="center"/>
          </w:tcPr>
          <w:p w14:paraId="6E91F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0.00</w:t>
            </w:r>
          </w:p>
        </w:tc>
        <w:tc>
          <w:tcPr>
            <w:tcW w:w="868" w:type="pct"/>
            <w:noWrap/>
            <w:vAlign w:val="center"/>
          </w:tcPr>
          <w:p w14:paraId="2F9DA28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无</w:t>
            </w:r>
          </w:p>
        </w:tc>
        <w:tc>
          <w:tcPr>
            <w:tcW w:w="585" w:type="pct"/>
            <w:noWrap/>
            <w:vAlign w:val="center"/>
          </w:tcPr>
          <w:p w14:paraId="4F8CCA03">
            <w:pPr>
              <w:widowControl/>
              <w:jc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机器设备</w:t>
            </w:r>
          </w:p>
        </w:tc>
      </w:tr>
      <w:tr w14:paraId="0FF20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372" w:type="pct"/>
            <w:noWrap/>
            <w:vAlign w:val="center"/>
          </w:tcPr>
          <w:p w14:paraId="2092F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687" w:type="pct"/>
            <w:noWrap/>
            <w:vAlign w:val="center"/>
          </w:tcPr>
          <w:p w14:paraId="3574F9BF"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山东永欣纺织有限公司</w:t>
            </w:r>
          </w:p>
        </w:tc>
        <w:tc>
          <w:tcPr>
            <w:tcW w:w="866" w:type="pct"/>
            <w:noWrap w:val="0"/>
            <w:vAlign w:val="center"/>
          </w:tcPr>
          <w:p w14:paraId="35640A7D"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2,090,000.00</w:t>
            </w:r>
          </w:p>
        </w:tc>
        <w:tc>
          <w:tcPr>
            <w:tcW w:w="885" w:type="pct"/>
            <w:noWrap w:val="0"/>
            <w:vAlign w:val="center"/>
          </w:tcPr>
          <w:p w14:paraId="51C4AC42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 xml:space="preserve"> 2,570,210.46 </w:t>
            </w:r>
          </w:p>
        </w:tc>
        <w:tc>
          <w:tcPr>
            <w:tcW w:w="733" w:type="pct"/>
            <w:noWrap/>
            <w:vAlign w:val="center"/>
          </w:tcPr>
          <w:p w14:paraId="55266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0.00</w:t>
            </w:r>
          </w:p>
        </w:tc>
        <w:tc>
          <w:tcPr>
            <w:tcW w:w="868" w:type="pct"/>
            <w:noWrap/>
            <w:vAlign w:val="center"/>
          </w:tcPr>
          <w:p w14:paraId="28C5A6C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山东华闻太阳能有限公司、殷宪平、吕世花</w:t>
            </w:r>
          </w:p>
        </w:tc>
        <w:tc>
          <w:tcPr>
            <w:tcW w:w="585" w:type="pct"/>
            <w:noWrap/>
            <w:vAlign w:val="center"/>
          </w:tcPr>
          <w:p w14:paraId="5EF150E2">
            <w:pPr>
              <w:widowControl/>
              <w:jc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无</w:t>
            </w:r>
          </w:p>
        </w:tc>
      </w:tr>
      <w:tr w14:paraId="0574A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372" w:type="pct"/>
            <w:noWrap/>
            <w:vAlign w:val="center"/>
          </w:tcPr>
          <w:p w14:paraId="32FA9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687" w:type="pct"/>
            <w:noWrap/>
            <w:vAlign w:val="center"/>
          </w:tcPr>
          <w:p w14:paraId="60032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山东星之联生物科技股份有限公司</w:t>
            </w:r>
          </w:p>
        </w:tc>
        <w:tc>
          <w:tcPr>
            <w:tcW w:w="866" w:type="pct"/>
            <w:noWrap w:val="0"/>
            <w:vAlign w:val="center"/>
          </w:tcPr>
          <w:p w14:paraId="1453C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11,906,885.47</w:t>
            </w:r>
          </w:p>
        </w:tc>
        <w:tc>
          <w:tcPr>
            <w:tcW w:w="885" w:type="pct"/>
            <w:noWrap w:val="0"/>
            <w:vAlign w:val="center"/>
          </w:tcPr>
          <w:p w14:paraId="67D74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7,987,874.60</w:t>
            </w:r>
          </w:p>
        </w:tc>
        <w:tc>
          <w:tcPr>
            <w:tcW w:w="733" w:type="pct"/>
            <w:noWrap/>
            <w:vAlign w:val="center"/>
          </w:tcPr>
          <w:p w14:paraId="36C04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46,138.83</w:t>
            </w:r>
          </w:p>
        </w:tc>
        <w:tc>
          <w:tcPr>
            <w:tcW w:w="868" w:type="pct"/>
            <w:noWrap/>
            <w:vAlign w:val="center"/>
          </w:tcPr>
          <w:p w14:paraId="18C9C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山东星之联生物科技股份有限公司、淄博方基制釉有限公司、山东义升环保设备有限公司、刘景亮、王慧玲</w:t>
            </w:r>
          </w:p>
        </w:tc>
        <w:tc>
          <w:tcPr>
            <w:tcW w:w="585" w:type="pct"/>
            <w:noWrap/>
            <w:vAlign w:val="center"/>
          </w:tcPr>
          <w:p w14:paraId="2AAAD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机器设备</w:t>
            </w:r>
          </w:p>
        </w:tc>
      </w:tr>
    </w:tbl>
    <w:p w14:paraId="7AEFFE16">
      <w:pPr>
        <w:widowControl/>
        <w:spacing w:line="360" w:lineRule="auto"/>
        <w:ind w:firstLine="480" w:firstLineChars="200"/>
        <w:jc w:val="both"/>
        <w:rPr>
          <w:rFonts w:hint="eastAsia" w:ascii="宋体" w:hAnsi="宋体" w:cs="宋体"/>
          <w:kern w:val="0"/>
          <w:sz w:val="24"/>
          <w:szCs w:val="24"/>
          <w:highlight w:val="none"/>
        </w:rPr>
      </w:pPr>
      <w:r>
        <w:rPr>
          <w:rFonts w:hint="eastAsia" w:ascii="宋体" w:hAnsi="宋体" w:cs="宋体"/>
          <w:kern w:val="0"/>
          <w:sz w:val="24"/>
          <w:szCs w:val="24"/>
          <w:highlight w:val="none"/>
        </w:rPr>
        <w:t>注：1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宋体" w:hAnsi="宋体" w:cs="宋体"/>
          <w:kern w:val="0"/>
          <w:sz w:val="24"/>
          <w:szCs w:val="24"/>
          <w:highlight w:val="none"/>
        </w:rPr>
        <w:t>本清单仅列示截至基准日的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  <w:lang w:val="en-US" w:eastAsia="zh-CN"/>
        </w:rPr>
        <w:t>债权</w:t>
      </w:r>
      <w:r>
        <w:rPr>
          <w:rFonts w:hint="eastAsia" w:ascii="宋体" w:hAnsi="宋体" w:cs="宋体"/>
          <w:kern w:val="0"/>
          <w:sz w:val="24"/>
          <w:szCs w:val="24"/>
          <w:highlight w:val="none"/>
        </w:rPr>
        <w:t>本金、利息余额</w:t>
      </w:r>
      <w:r>
        <w:rPr>
          <w:rFonts w:hint="eastAsia" w:ascii="宋体" w:hAnsi="宋体" w:cs="宋体"/>
          <w:kern w:val="0"/>
          <w:sz w:val="24"/>
          <w:szCs w:val="24"/>
          <w:highlight w:val="none"/>
          <w:lang w:eastAsia="zh-CN"/>
        </w:rPr>
        <w:t>、</w:t>
      </w:r>
      <w:r>
        <w:rPr>
          <w:rFonts w:hint="eastAsia" w:ascii="宋体" w:hAnsi="宋体" w:cs="宋体"/>
          <w:kern w:val="0"/>
          <w:sz w:val="24"/>
          <w:szCs w:val="24"/>
          <w:highlight w:val="none"/>
          <w:lang w:val="en-US" w:eastAsia="zh-CN"/>
        </w:rPr>
        <w:t>其他债权</w:t>
      </w:r>
      <w:r>
        <w:rPr>
          <w:rFonts w:hint="eastAsia" w:ascii="宋体" w:hAnsi="宋体" w:cs="宋体"/>
          <w:kern w:val="0"/>
          <w:sz w:val="24"/>
          <w:szCs w:val="24"/>
          <w:highlight w:val="none"/>
        </w:rPr>
        <w:t>，基准日后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  <w:lang w:val="en-US" w:eastAsia="zh-CN"/>
        </w:rPr>
        <w:t>债务</w:t>
      </w:r>
      <w:r>
        <w:rPr>
          <w:rFonts w:hint="eastAsia" w:ascii="宋体" w:hAnsi="宋体" w:cs="宋体"/>
          <w:kern w:val="0"/>
          <w:sz w:val="24"/>
          <w:szCs w:val="24"/>
          <w:highlight w:val="none"/>
        </w:rPr>
        <w:t>人和担保人应支付的利息、违约金、相关费用等按照相关合同、生效法律文书及法律法规的规定计算。</w:t>
      </w:r>
    </w:p>
    <w:p w14:paraId="07C05511">
      <w:pPr>
        <w:widowControl/>
        <w:numPr>
          <w:ilvl w:val="0"/>
          <w:numId w:val="0"/>
        </w:numPr>
        <w:spacing w:line="360" w:lineRule="auto"/>
        <w:ind w:firstLine="480" w:firstLineChars="200"/>
        <w:jc w:val="both"/>
        <w:rPr>
          <w:rFonts w:hint="eastAsia" w:ascii="宋体" w:hAnsi="宋体" w:cs="宋体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kern w:val="0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="宋体" w:hAnsi="宋体" w:cs="宋体"/>
          <w:kern w:val="0"/>
          <w:sz w:val="24"/>
          <w:szCs w:val="24"/>
          <w:highlight w:val="none"/>
        </w:rPr>
        <w:t>若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  <w:lang w:val="en-US" w:eastAsia="zh-CN"/>
        </w:rPr>
        <w:t>债务</w:t>
      </w:r>
      <w:r>
        <w:rPr>
          <w:rFonts w:hint="eastAsia" w:ascii="宋体" w:hAnsi="宋体" w:cs="宋体"/>
          <w:kern w:val="0"/>
          <w:sz w:val="24"/>
          <w:szCs w:val="24"/>
          <w:highlight w:val="none"/>
        </w:rPr>
        <w:t>人、担保人因各种原因更名、改制、歇业、吊销营业执照或丧失民事主体资格的，请相关承债主体及/或主管部门代为履行义务或履行清算责任。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若本清单中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担保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人名单出现遗漏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eastAsia="zh-CN"/>
        </w:rPr>
        <w:t>、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笔误的，并不意味着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中国中信金融资产管理股份有限公司山东省分公司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对其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担保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责任的免除，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担保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人仍须按合同约定及法律规定履行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担保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责任。</w:t>
      </w:r>
    </w:p>
    <w:p w14:paraId="5A419DA2">
      <w:pPr>
        <w:widowControl/>
        <w:spacing w:line="360" w:lineRule="auto"/>
        <w:ind w:firstLine="481"/>
        <w:jc w:val="both"/>
        <w:rPr>
          <w:rFonts w:hint="eastAsia" w:ascii="宋体" w:hAnsi="宋体" w:cs="宋体"/>
          <w:kern w:val="0"/>
          <w:sz w:val="24"/>
          <w:szCs w:val="24"/>
          <w:highlight w:val="none"/>
        </w:rPr>
      </w:pPr>
      <w:r>
        <w:rPr>
          <w:rFonts w:hint="eastAsia" w:ascii="宋体" w:hAnsi="宋体" w:cs="宋体"/>
          <w:kern w:val="0"/>
          <w:sz w:val="24"/>
          <w:szCs w:val="24"/>
          <w:highlight w:val="none"/>
        </w:rPr>
        <w:t>3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宋体" w:hAnsi="宋体" w:cs="宋体"/>
          <w:kern w:val="0"/>
          <w:sz w:val="24"/>
          <w:szCs w:val="24"/>
          <w:highlight w:val="none"/>
        </w:rPr>
        <w:t>清单中的“担保人”包括保证人、抵押人、出质人。</w:t>
      </w:r>
    </w:p>
    <w:p w14:paraId="7BE473D9">
      <w:pPr>
        <w:spacing w:before="0" w:beforeAutospacing="0" w:after="0" w:afterAutospacing="0" w:line="360" w:lineRule="auto"/>
        <w:ind w:firstLine="481"/>
        <w:jc w:val="both"/>
        <w:rPr>
          <w:rFonts w:hint="eastAsia" w:ascii="宋体" w:hAnsi="宋体" w:cs="宋体"/>
          <w:kern w:val="0"/>
          <w:sz w:val="24"/>
          <w:szCs w:val="24"/>
          <w:highlight w:val="none"/>
        </w:rPr>
      </w:pPr>
      <w:r>
        <w:rPr>
          <w:rFonts w:hint="eastAsia" w:ascii="宋体" w:hAnsi="宋体" w:cs="宋体"/>
          <w:kern w:val="0"/>
          <w:sz w:val="24"/>
          <w:szCs w:val="24"/>
          <w:highlight w:val="none"/>
        </w:rPr>
        <w:t>4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如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清单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中债务人、债权金额、担保人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及担保物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等信息与事实不符的，以相关合同、生效法律文书等为准</w:t>
      </w:r>
      <w:r>
        <w:rPr>
          <w:rFonts w:hint="eastAsia" w:ascii="宋体" w:hAnsi="宋体" w:cs="宋体"/>
          <w:kern w:val="0"/>
          <w:sz w:val="24"/>
          <w:szCs w:val="24"/>
          <w:highlight w:val="none"/>
        </w:rPr>
        <w:t>。</w:t>
      </w:r>
    </w:p>
    <w:p w14:paraId="01BB022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173037"/>
    <w:rsid w:val="274D007E"/>
    <w:rsid w:val="7B2F1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无间隔1"/>
    <w:qFormat/>
    <w:uiPriority w:val="1"/>
    <w:pPr>
      <w:widowControl w:val="0"/>
      <w:ind w:firstLine="200" w:firstLineChars="200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700</Words>
  <Characters>932</Characters>
  <Lines>0</Lines>
  <Paragraphs>0</Paragraphs>
  <TotalTime>0</TotalTime>
  <ScaleCrop>false</ScaleCrop>
  <LinksUpToDate>false</LinksUpToDate>
  <CharactersWithSpaces>978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2025-11-19T07:30:00Z</dcterms:created>
  <dc:creator>Administrator</dc:creator>
  <cp:lastModifiedBy>WPS_1547221334</cp:lastModifiedBy>
  <dcterms:modified xsi:type="dcterms:W3CDTF">2025-11-21T11:23:59Z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eyJoZGlkIjoiMTdjZjk4MjBhMWEwZDA1ODM1NTFkZjk2YmY3MmIyYWQiLCJ1c2VySWQiOiI0NTc3NTY0MDQifQ==</vt:lpwstr>
  </property>
  <property fmtid="{D5CDD505-2E9C-101B-9397-08002B2CF9AE}" pid="4" name="ICV">
    <vt:lpwstr>ACE6FECB3D6148E497A0828ACC7292DA_13</vt:lpwstr>
  </property>
</Properties>
</file>