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pPr>
        <w:adjustRightInd w:val="0"/>
        <w:snapToGrid w:val="0"/>
        <w:spacing w:line="360" w:lineRule="exact"/>
        <w:ind w:right="-199" w:rightChars="-95" w:firstLine="422" w:firstLineChars="200"/>
        <w:rPr>
          <w:rFonts w:asciiTheme="minorEastAsia" w:hAnsiTheme="minorEastAsia"/>
          <w:b/>
          <w:kern w:val="0"/>
          <w:szCs w:val="21"/>
        </w:rPr>
      </w:pPr>
    </w:p>
    <w:p>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pPr>
        <w:adjustRightInd w:val="0"/>
        <w:snapToGrid w:val="0"/>
        <w:spacing w:line="360" w:lineRule="exact"/>
        <w:ind w:right="-199" w:rightChars="-95" w:firstLine="0" w:firstLineChars="0"/>
        <w:rPr>
          <w:rFonts w:hint="eastAsia" w:cs="仿宋_GB2312" w:asciiTheme="minorEastAsia" w:hAnsiTheme="minorEastAsia"/>
          <w:szCs w:val="21"/>
        </w:rPr>
      </w:pPr>
      <w:r>
        <w:rPr>
          <w:rFonts w:hint="eastAsia" w:cs="仿宋_GB2312" w:asciiTheme="minorEastAsia" w:hAnsiTheme="minorEastAsia"/>
          <w:szCs w:val="21"/>
        </w:rPr>
        <w:t>山东产权交易中心（以下简称“中心”）：</w:t>
      </w:r>
    </w:p>
    <w:p>
      <w:pPr>
        <w:adjustRightInd w:val="0"/>
        <w:snapToGrid w:val="0"/>
        <w:spacing w:line="360" w:lineRule="exact"/>
        <w:ind w:right="-199" w:rightChars="-95" w:firstLine="420" w:firstLineChars="200"/>
        <w:rPr>
          <w:rFonts w:hint="eastAsia" w:cs="仿宋_GB2312" w:asciiTheme="minorEastAsia" w:hAnsiTheme="minorEastAsia"/>
          <w:szCs w:val="21"/>
        </w:rPr>
      </w:pPr>
      <w:r>
        <w:rPr>
          <w:rFonts w:hint="eastAsia" w:cs="仿宋_GB2312" w:asciiTheme="minorEastAsia" w:hAnsiTheme="minorEastAsia"/>
          <w:szCs w:val="21"/>
        </w:rPr>
        <w:t>我方提出参与受让</w:t>
      </w:r>
      <w:r>
        <w:rPr>
          <w:rFonts w:hint="eastAsia" w:cs="仿宋_GB2312" w:asciiTheme="minorEastAsia" w:hAnsiTheme="minorEastAsia"/>
          <w:szCs w:val="21"/>
          <w:u w:val="single"/>
        </w:rPr>
        <w:t xml:space="preserve"> 邹平县三利集团有限公司等十八家公司破产清算资产一宗  </w:t>
      </w:r>
      <w:r>
        <w:rPr>
          <w:rFonts w:hint="eastAsia" w:cs="仿宋_GB2312" w:asciiTheme="minorEastAsia" w:hAnsiTheme="minorEastAsia"/>
          <w:szCs w:val="21"/>
        </w:rPr>
        <w:t>项目的申请，现依照诚实守信的原则，就参与本项目网络竞价（含动态报价）活动做出如下承诺：</w:t>
      </w:r>
    </w:p>
    <w:p>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2"/>
          <w:rFonts w:cs="宋体" w:asciiTheme="minorEastAsia" w:hAnsiTheme="minorEastAsia"/>
          <w:color w:val="auto"/>
          <w:kern w:val="0"/>
          <w:szCs w:val="21"/>
        </w:rPr>
        <w:t>www.sdcqjy.com</w:t>
      </w:r>
      <w:r>
        <w:rPr>
          <w:rStyle w:val="12"/>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pPr>
        <w:adjustRightInd w:val="0"/>
        <w:snapToGrid w:val="0"/>
        <w:spacing w:line="360" w:lineRule="exact"/>
        <w:ind w:firstLine="420" w:firstLineChars="200"/>
        <w:jc w:val="left"/>
        <w:rPr>
          <w:rFonts w:cs="宋体" w:asciiTheme="minorEastAsia" w:hAnsiTheme="minorEastAsia"/>
          <w:b/>
          <w:bCs/>
          <w:kern w:val="0"/>
          <w:szCs w:val="21"/>
          <w:highlight w:val="none"/>
        </w:rPr>
      </w:pPr>
      <w:r>
        <w:rPr>
          <w:rFonts w:hint="eastAsia" w:cs="宋体" w:asciiTheme="minorEastAsia" w:hAnsiTheme="minorEastAsia"/>
          <w:kern w:val="0"/>
          <w:szCs w:val="21"/>
        </w:rPr>
        <w:t>竞价过程中以挂牌价格为起始价格，网络竞价开始时间及加价幅度另行通知。竞价过程由多个连续报价周期组成</w:t>
      </w:r>
      <w:r>
        <w:rPr>
          <w:rFonts w:hint="eastAsia" w:cs="宋体" w:asciiTheme="minorEastAsia" w:hAnsiTheme="minorEastAsia"/>
          <w:kern w:val="0"/>
          <w:szCs w:val="21"/>
          <w:highlight w:val="none"/>
        </w:rPr>
        <w:t>，每个报价周期为1.5分钟（即 90秒）。在每个报价周期内，如出现新的有效报价，则进入新的报价周期；在一个报价周期内如未出现新的有效报价，则当前有效报价方成为本次交易的受让方。</w:t>
      </w:r>
    </w:p>
    <w:p>
      <w:pPr>
        <w:widowControl/>
        <w:adjustRightInd w:val="0"/>
        <w:snapToGrid w:val="0"/>
        <w:spacing w:line="360" w:lineRule="exact"/>
        <w:ind w:right="-199" w:rightChars="-95" w:firstLine="480"/>
        <w:rPr>
          <w:rFonts w:cs="宋体" w:asciiTheme="minorEastAsia" w:hAnsiTheme="minorEastAsia"/>
          <w:kern w:val="0"/>
          <w:szCs w:val="21"/>
          <w:highlight w:val="none"/>
        </w:rPr>
      </w:pPr>
      <w:r>
        <w:rPr>
          <w:rFonts w:hint="eastAsia" w:cs="宋体" w:asciiTheme="minorEastAsia" w:hAnsiTheme="minorEastAsia"/>
          <w:kern w:val="0"/>
          <w:szCs w:val="21"/>
          <w:highlight w:val="none"/>
        </w:rPr>
        <w:t>网络竞价加价规则：</w:t>
      </w:r>
    </w:p>
    <w:p>
      <w:pPr>
        <w:widowControl/>
        <w:adjustRightInd w:val="0"/>
        <w:snapToGrid w:val="0"/>
        <w:spacing w:line="360" w:lineRule="exact"/>
        <w:ind w:right="-199" w:rightChars="-95" w:firstLine="480"/>
        <w:rPr>
          <w:rFonts w:cs="宋体" w:asciiTheme="minorEastAsia" w:hAnsiTheme="minorEastAsia"/>
          <w:kern w:val="0"/>
          <w:szCs w:val="21"/>
          <w:highlight w:val="none"/>
        </w:rPr>
      </w:pPr>
      <w:r>
        <w:rPr>
          <w:rFonts w:hint="eastAsia" w:cs="宋体" w:asciiTheme="minorEastAsia" w:hAnsiTheme="minorEastAsia"/>
          <w:kern w:val="0"/>
          <w:szCs w:val="21"/>
          <w:highlight w:val="none"/>
        </w:rPr>
        <w:t>除对挂牌价格应价外，各竞买人每次加价不得低于加价幅度。</w:t>
      </w:r>
    </w:p>
    <w:p>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交易方式为动态报价的，本次动态报价活动以挂牌价格为起始价格。</w:t>
      </w:r>
    </w:p>
    <w:p>
      <w:pPr>
        <w:widowControl/>
        <w:adjustRightInd w:val="0"/>
        <w:snapToGrid w:val="0"/>
        <w:spacing w:line="360" w:lineRule="exact"/>
        <w:ind w:right="-199" w:rightChars="-95" w:firstLine="420" w:firstLineChars="200"/>
        <w:rPr>
          <w:rFonts w:cs="宋体" w:asciiTheme="minorEastAsia" w:hAnsiTheme="minorEastAsia"/>
          <w:kern w:val="0"/>
          <w:szCs w:val="21"/>
          <w:highlight w:val="none"/>
        </w:rPr>
      </w:pPr>
      <w:r>
        <w:rPr>
          <w:rFonts w:hint="eastAsia" w:cs="宋体" w:asciiTheme="minorEastAsia" w:hAnsiTheme="minorEastAsia"/>
          <w:kern w:val="0"/>
          <w:szCs w:val="21"/>
          <w:highlight w:val="none"/>
        </w:rPr>
        <w:t>报价周期内意向受让方须在规定的报价时间内报价，若无意向受让方响应底价，则项目不成交。</w:t>
      </w:r>
    </w:p>
    <w:p>
      <w:pPr>
        <w:adjustRightInd w:val="0"/>
        <w:snapToGrid w:val="0"/>
        <w:spacing w:line="360" w:lineRule="exact"/>
        <w:ind w:right="-199" w:rightChars="-95" w:firstLine="420" w:firstLineChars="200"/>
        <w:rPr>
          <w:rFonts w:ascii="宋体" w:hAnsi="宋体" w:eastAsia="宋体" w:cs="仿宋_GB2312"/>
          <w:szCs w:val="21"/>
          <w:highlight w:val="none"/>
        </w:rPr>
      </w:pPr>
      <w:r>
        <w:rPr>
          <w:rFonts w:hint="eastAsia" w:ascii="宋体" w:hAnsi="宋体" w:eastAsia="宋体" w:cs="仿宋_GB2312"/>
          <w:szCs w:val="21"/>
          <w:highlight w:val="none"/>
        </w:rPr>
        <w:t>动态报价由定时报价期和连续报价期组成。</w:t>
      </w:r>
    </w:p>
    <w:p>
      <w:pPr>
        <w:widowControl/>
        <w:adjustRightInd w:val="0"/>
        <w:snapToGrid w:val="0"/>
        <w:spacing w:line="360" w:lineRule="exact"/>
        <w:ind w:right="-199" w:rightChars="-95" w:firstLine="480"/>
        <w:rPr>
          <w:rFonts w:ascii="宋体" w:hAnsi="宋体" w:eastAsia="宋体" w:cs="Times New Roman"/>
          <w:kern w:val="0"/>
          <w:szCs w:val="21"/>
          <w:highlight w:val="none"/>
        </w:rPr>
      </w:pPr>
      <w:r>
        <w:rPr>
          <w:rFonts w:hint="eastAsia" w:cs="宋体" w:asciiTheme="minorEastAsia" w:hAnsiTheme="minorEastAsia"/>
          <w:kern w:val="0"/>
          <w:szCs w:val="21"/>
          <w:highlight w:val="none"/>
        </w:rPr>
        <w:t>（1）</w:t>
      </w:r>
      <w:r>
        <w:rPr>
          <w:rFonts w:hint="eastAsia" w:ascii="宋体" w:hAnsi="宋体" w:eastAsia="宋体" w:cs="仿宋_GB2312"/>
          <w:szCs w:val="21"/>
          <w:highlight w:val="none"/>
        </w:rPr>
        <w:t>定</w:t>
      </w:r>
      <w:r>
        <w:rPr>
          <w:rFonts w:hint="eastAsia" w:ascii="宋体" w:hAnsi="宋体" w:eastAsia="宋体" w:cs="Times New Roman"/>
          <w:kern w:val="0"/>
          <w:szCs w:val="21"/>
          <w:highlight w:val="none"/>
        </w:rPr>
        <w:t xml:space="preserve">时报价期起始时间详见网站披露信息。在此期间，竞买人可对转让标的进行报价，各竞买人的每次有效报价随即成为当前报价。 </w:t>
      </w:r>
    </w:p>
    <w:p>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2）</w:t>
      </w:r>
      <w:r>
        <w:rPr>
          <w:rFonts w:hint="eastAsia" w:ascii="宋体" w:hAnsi="宋体" w:eastAsia="宋体" w:cs="Times New Roman"/>
          <w:kern w:val="0"/>
          <w:szCs w:val="21"/>
          <w:highlight w:val="none"/>
        </w:rPr>
        <w:t>定时报价期结束后立即进入连续报价期。连续报价期可由多个连续报价周期组成，每个连续报价周期为1.5分钟（即90秒）。在每个连续报价周期内，如出现新的有效报价，则进入新的连续报价周期；在一</w:t>
      </w:r>
      <w:r>
        <w:rPr>
          <w:rFonts w:hint="eastAsia" w:ascii="宋体" w:hAnsi="宋体" w:eastAsia="宋体" w:cs="Times New Roman"/>
          <w:kern w:val="0"/>
          <w:szCs w:val="21"/>
        </w:rPr>
        <w:t>个连续报价周期内如未出现新的有效报价，则当前有效报价方成为本次动态报价活动的受让方。</w:t>
      </w:r>
    </w:p>
    <w:p>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pPr>
        <w:numPr>
          <w:ilvl w:val="255"/>
          <w:numId w:val="0"/>
        </w:numPr>
        <w:spacing w:line="360" w:lineRule="exact"/>
        <w:ind w:right="-199" w:rightChars="-95" w:firstLine="420" w:firstLineChars="200"/>
        <w:rPr>
          <w:rFonts w:ascii="宋体" w:hAnsi="宋体" w:eastAsia="宋体" w:cs="Times New Roman"/>
          <w:color w:val="0000FF"/>
          <w:szCs w:val="21"/>
        </w:rPr>
      </w:pPr>
      <w:r>
        <w:rPr>
          <w:rFonts w:hint="eastAsia" w:ascii="宋体" w:hAnsi="宋体" w:eastAsia="宋体" w:cs="Times New Roman"/>
          <w:szCs w:val="21"/>
        </w:rPr>
        <w:t>受让方在收到《结果通知单》之日起5个工作日内支付应付交易价款及交易费用至产权中心指定账户，交易费用按照下列比例分段累计的基础上减去100万元</w:t>
      </w:r>
      <w:r>
        <w:rPr>
          <w:rFonts w:hint="eastAsia" w:ascii="宋体" w:hAnsi="宋体" w:eastAsia="宋体" w:cs="Times New Roman"/>
          <w:szCs w:val="21"/>
          <w:lang w:val="en-US" w:eastAsia="zh-CN"/>
        </w:rPr>
        <w:t>交纳</w:t>
      </w:r>
      <w:r>
        <w:rPr>
          <w:rFonts w:hint="eastAsia" w:ascii="宋体" w:hAnsi="宋体" w:eastAsia="宋体" w:cs="Times New Roman"/>
          <w:szCs w:val="21"/>
        </w:rPr>
        <w:t>：交易额200万元以下的，按5％；200万元以上1000万元以下的部分，按3％；1000万元以上5000万元以下的部分，按2％；5000万元以上1亿元以下的部分，按1％；1亿元以上的部分，按0.5％（注：“以下”包含本数在内，“以上”不包含本数。）。</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w:t>
      </w:r>
      <w:r>
        <w:rPr>
          <w:rFonts w:hint="eastAsia" w:cs="宋体" w:asciiTheme="minorEastAsia" w:hAnsiTheme="minorEastAsia"/>
          <w:kern w:val="0"/>
          <w:szCs w:val="21"/>
          <w:lang w:val="en-US" w:eastAsia="zh-CN"/>
        </w:rPr>
        <w:t>交易价款</w:t>
      </w:r>
      <w:r>
        <w:rPr>
          <w:rFonts w:hint="eastAsia" w:cs="宋体" w:asciiTheme="minorEastAsia" w:hAnsiTheme="minorEastAsia"/>
          <w:kern w:val="0"/>
          <w:szCs w:val="21"/>
        </w:rPr>
        <w:t>。未购买成功且无违约责任的意向受让方，产权中心于确定受让方后2个工作日内将其保证金无息退还。</w:t>
      </w:r>
    </w:p>
    <w:p>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被确定为受让方后不能在规定时间内付清交易价款及交易费用、按要求完成项目移交的，承诺承担以下责任：</w:t>
      </w:r>
    </w:p>
    <w:p>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pPr>
        <w:widowControl/>
        <w:adjustRightInd w:val="0"/>
        <w:snapToGrid w:val="0"/>
        <w:spacing w:line="360" w:lineRule="exact"/>
        <w:ind w:right="-199" w:rightChars="-95" w:firstLine="480"/>
        <w:rPr>
          <w:rFonts w:cs="宋体" w:asciiTheme="minorEastAsia" w:hAnsiTheme="minorEastAsia"/>
          <w:kern w:val="0"/>
          <w:szCs w:val="21"/>
        </w:rPr>
      </w:pPr>
    </w:p>
    <w:p>
      <w:pPr>
        <w:widowControl/>
        <w:snapToGrid w:val="0"/>
        <w:spacing w:line="360" w:lineRule="exact"/>
        <w:ind w:right="-199" w:rightChars="-95"/>
        <w:rPr>
          <w:rFonts w:cs="宋体" w:asciiTheme="minorEastAsia" w:hAnsiTheme="minorEastAsia"/>
          <w:kern w:val="0"/>
          <w:szCs w:val="21"/>
        </w:rPr>
      </w:pPr>
      <w:r>
        <w:rPr>
          <w:rFonts w:cs="宋体" w:asciiTheme="minorEastAsia" w:hAnsiTheme="minorEastAsia"/>
          <w:kern w:val="0"/>
          <w:szCs w:val="21"/>
        </w:rPr>
        <w:t xml:space="preserve">                                              </w:t>
      </w:r>
    </w:p>
    <w:p>
      <w:pPr>
        <w:widowControl/>
        <w:spacing w:line="320" w:lineRule="exact"/>
        <w:ind w:left="-283" w:leftChars="-135" w:right="-199" w:rightChars="-95" w:firstLine="163" w:firstLineChars="78"/>
        <w:rPr>
          <w:rFonts w:cs="宋体" w:asciiTheme="minorEastAsia" w:hAnsiTheme="minorEastAsia"/>
          <w:color w:val="auto"/>
          <w:kern w:val="0"/>
          <w:szCs w:val="21"/>
          <w:highlight w:val="none"/>
        </w:rPr>
      </w:pPr>
      <w:r>
        <w:rPr>
          <w:rFonts w:cs="宋体" w:asciiTheme="minorEastAsia" w:hAnsiTheme="minorEastAsia"/>
          <w:color w:val="auto"/>
          <w:kern w:val="0"/>
          <w:szCs w:val="21"/>
          <w:highlight w:val="none"/>
        </w:rPr>
        <w:t xml:space="preserve">   </w:t>
      </w:r>
      <w:bookmarkStart w:id="0" w:name="_GoBack"/>
      <w:bookmarkEnd w:id="0"/>
    </w:p>
    <w:p>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pPr>
        <w:widowControl/>
        <w:spacing w:line="320" w:lineRule="exact"/>
        <w:ind w:left="-283" w:leftChars="-135" w:right="-199" w:rightChars="-95" w:firstLine="163" w:firstLineChars="78"/>
        <w:rPr>
          <w:rFonts w:asciiTheme="minorEastAsia" w:hAnsiTheme="minorEastAsia"/>
          <w:kern w:val="0"/>
          <w:szCs w:val="21"/>
        </w:rPr>
      </w:pPr>
    </w:p>
    <w:p>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pPr>
        <w:widowControl/>
        <w:snapToGrid w:val="0"/>
        <w:spacing w:line="360" w:lineRule="exact"/>
        <w:ind w:right="-199" w:rightChars="-95"/>
        <w:jc w:val="both"/>
        <w:rPr>
          <w:rFonts w:ascii="方正小标宋简体" w:eastAsia="方正小标宋简体" w:cs="微软简标宋"/>
          <w:bCs/>
          <w:color w:val="auto"/>
          <w:sz w:val="36"/>
          <w:szCs w:val="36"/>
          <w:highlight w:val="none"/>
        </w:rPr>
      </w:pPr>
      <w:r>
        <w:rPr>
          <w:rFonts w:cs="宋体" w:asciiTheme="minorEastAsia" w:hAnsiTheme="minorEastAsia"/>
          <w:color w:val="auto"/>
          <w:kern w:val="0"/>
          <w:szCs w:val="21"/>
          <w:highlight w:val="none"/>
        </w:rPr>
        <w:t xml:space="preserve">                              </w:t>
      </w:r>
    </w:p>
    <w:p>
      <w:pPr>
        <w:widowControl/>
        <w:snapToGrid w:val="0"/>
        <w:spacing w:line="360" w:lineRule="exact"/>
        <w:ind w:right="-199" w:rightChars="-95"/>
        <w:rPr>
          <w:rFonts w:cs="宋体" w:asciiTheme="minorEastAsia" w:hAnsiTheme="minorEastAsia"/>
          <w:kern w:val="0"/>
          <w:szCs w:val="21"/>
        </w:rPr>
      </w:pPr>
    </w:p>
    <w:p>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5MGNhODE0MTg4YjlhNmVjZjY2ZjM5NzFiYWIzMjgifQ=="/>
  </w:docVars>
  <w:rsids>
    <w:rsidRoot w:val="00B85B4E"/>
    <w:rsid w:val="00005A05"/>
    <w:rsid w:val="00020CAD"/>
    <w:rsid w:val="000300BB"/>
    <w:rsid w:val="00041697"/>
    <w:rsid w:val="00041775"/>
    <w:rsid w:val="0004523C"/>
    <w:rsid w:val="00056C49"/>
    <w:rsid w:val="000604D8"/>
    <w:rsid w:val="0007264B"/>
    <w:rsid w:val="00074179"/>
    <w:rsid w:val="00080C0E"/>
    <w:rsid w:val="000B6F72"/>
    <w:rsid w:val="000D0633"/>
    <w:rsid w:val="00114908"/>
    <w:rsid w:val="00115F50"/>
    <w:rsid w:val="001215A0"/>
    <w:rsid w:val="0016259F"/>
    <w:rsid w:val="00167058"/>
    <w:rsid w:val="0017625F"/>
    <w:rsid w:val="001B5516"/>
    <w:rsid w:val="001D033B"/>
    <w:rsid w:val="001D3D7D"/>
    <w:rsid w:val="00217936"/>
    <w:rsid w:val="0022004E"/>
    <w:rsid w:val="0022160C"/>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27641"/>
    <w:rsid w:val="00834E85"/>
    <w:rsid w:val="00851372"/>
    <w:rsid w:val="00867DCD"/>
    <w:rsid w:val="008812EE"/>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A22796E"/>
    <w:rsid w:val="0B2842C7"/>
    <w:rsid w:val="0B5D39B7"/>
    <w:rsid w:val="0C2D1003"/>
    <w:rsid w:val="0C741827"/>
    <w:rsid w:val="0CB02467"/>
    <w:rsid w:val="0D471B4E"/>
    <w:rsid w:val="0E034D80"/>
    <w:rsid w:val="0EF44F7D"/>
    <w:rsid w:val="0F35708A"/>
    <w:rsid w:val="112B4874"/>
    <w:rsid w:val="11501FDA"/>
    <w:rsid w:val="13AF388A"/>
    <w:rsid w:val="13ED28B7"/>
    <w:rsid w:val="168B425A"/>
    <w:rsid w:val="16C45343"/>
    <w:rsid w:val="17013C0B"/>
    <w:rsid w:val="174A5679"/>
    <w:rsid w:val="177858BB"/>
    <w:rsid w:val="17B44C75"/>
    <w:rsid w:val="1D4E0CEB"/>
    <w:rsid w:val="1E064AD3"/>
    <w:rsid w:val="1FE509E1"/>
    <w:rsid w:val="20892574"/>
    <w:rsid w:val="22777C19"/>
    <w:rsid w:val="25550BE1"/>
    <w:rsid w:val="285A1A45"/>
    <w:rsid w:val="28CD0786"/>
    <w:rsid w:val="2AAB69FD"/>
    <w:rsid w:val="2CE34BB3"/>
    <w:rsid w:val="2E1E6A9E"/>
    <w:rsid w:val="2F1D48C1"/>
    <w:rsid w:val="2F6B36F7"/>
    <w:rsid w:val="305A69BA"/>
    <w:rsid w:val="30D0446A"/>
    <w:rsid w:val="31387F55"/>
    <w:rsid w:val="31B51441"/>
    <w:rsid w:val="32D62C02"/>
    <w:rsid w:val="37B47B69"/>
    <w:rsid w:val="391852B3"/>
    <w:rsid w:val="39EB7DA1"/>
    <w:rsid w:val="3B0F67E3"/>
    <w:rsid w:val="3B2F0785"/>
    <w:rsid w:val="3B7261A2"/>
    <w:rsid w:val="3BCA26B2"/>
    <w:rsid w:val="3D5A2677"/>
    <w:rsid w:val="3E3437B7"/>
    <w:rsid w:val="40E92B8C"/>
    <w:rsid w:val="44CD7D2F"/>
    <w:rsid w:val="461126B7"/>
    <w:rsid w:val="473012A4"/>
    <w:rsid w:val="49D224B3"/>
    <w:rsid w:val="4AF42C45"/>
    <w:rsid w:val="4B2A3500"/>
    <w:rsid w:val="4B82728F"/>
    <w:rsid w:val="4BA0201A"/>
    <w:rsid w:val="4C130BC6"/>
    <w:rsid w:val="4D35472E"/>
    <w:rsid w:val="4E92230C"/>
    <w:rsid w:val="4F7C3164"/>
    <w:rsid w:val="512B50B0"/>
    <w:rsid w:val="516A3F49"/>
    <w:rsid w:val="51B21172"/>
    <w:rsid w:val="52503972"/>
    <w:rsid w:val="538954A7"/>
    <w:rsid w:val="53CA11E5"/>
    <w:rsid w:val="544F0B55"/>
    <w:rsid w:val="57872B8F"/>
    <w:rsid w:val="592041D4"/>
    <w:rsid w:val="5B2E79B9"/>
    <w:rsid w:val="60EA743F"/>
    <w:rsid w:val="64004BDA"/>
    <w:rsid w:val="64765C25"/>
    <w:rsid w:val="65305110"/>
    <w:rsid w:val="670A5267"/>
    <w:rsid w:val="6B065FBA"/>
    <w:rsid w:val="6D2B51D5"/>
    <w:rsid w:val="6E8F6B1F"/>
    <w:rsid w:val="6ED07EE6"/>
    <w:rsid w:val="72A44A1F"/>
    <w:rsid w:val="745F3BFC"/>
    <w:rsid w:val="78BE37C7"/>
    <w:rsid w:val="796B5106"/>
    <w:rsid w:val="7A081859"/>
    <w:rsid w:val="7A506D6A"/>
    <w:rsid w:val="7A8A3874"/>
    <w:rsid w:val="7BB64C3F"/>
    <w:rsid w:val="7C3C062E"/>
    <w:rsid w:val="7D852A0C"/>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after="120"/>
      <w:outlineLvl w:val="0"/>
    </w:pPr>
    <w:rPr>
      <w:rFonts w:eastAsia="黑体"/>
      <w:b/>
      <w:bCs/>
      <w:kern w:val="44"/>
      <w:szCs w:val="44"/>
    </w:rPr>
  </w:style>
  <w:style w:type="paragraph" w:styleId="3">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Balloon Text"/>
    <w:basedOn w:val="1"/>
    <w:link w:val="21"/>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2"/>
    <w:next w:val="1"/>
    <w:link w:val="16"/>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9">
    <w:name w:val="annotation subject"/>
    <w:basedOn w:val="4"/>
    <w:next w:val="4"/>
    <w:link w:val="20"/>
    <w:unhideWhenUsed/>
    <w:qFormat/>
    <w:uiPriority w:val="99"/>
    <w:rPr>
      <w:b/>
      <w:bCs/>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unhideWhenUsed/>
    <w:qFormat/>
    <w:uiPriority w:val="99"/>
    <w:rPr>
      <w:sz w:val="21"/>
      <w:szCs w:val="21"/>
    </w:rPr>
  </w:style>
  <w:style w:type="character" w:customStyle="1" w:styleId="14">
    <w:name w:val="标题 1 字符"/>
    <w:basedOn w:val="11"/>
    <w:link w:val="2"/>
    <w:qFormat/>
    <w:uiPriority w:val="0"/>
    <w:rPr>
      <w:rFonts w:eastAsia="黑体"/>
      <w:b/>
      <w:bCs/>
      <w:kern w:val="44"/>
      <w:sz w:val="32"/>
      <w:szCs w:val="44"/>
    </w:rPr>
  </w:style>
  <w:style w:type="paragraph" w:customStyle="1" w:styleId="15">
    <w:name w:val="小小标题"/>
    <w:basedOn w:val="2"/>
    <w:qFormat/>
    <w:uiPriority w:val="0"/>
    <w:pPr>
      <w:ind w:firstLine="640"/>
    </w:pPr>
    <w:rPr>
      <w:rFonts w:ascii="Times New Roman" w:hAnsi="Times New Roman" w:eastAsia="楷体_GB2312" w:cs="Times New Roman"/>
    </w:rPr>
  </w:style>
  <w:style w:type="character" w:customStyle="1" w:styleId="16">
    <w:name w:val="标题 字符"/>
    <w:basedOn w:val="11"/>
    <w:link w:val="8"/>
    <w:qFormat/>
    <w:uiPriority w:val="0"/>
    <w:rPr>
      <w:rFonts w:eastAsia="方正小标宋简体" w:asciiTheme="majorHAnsi" w:hAnsiTheme="majorHAnsi" w:cstheme="majorBidi"/>
      <w:kern w:val="44"/>
      <w:sz w:val="44"/>
      <w:szCs w:val="32"/>
    </w:rPr>
  </w:style>
  <w:style w:type="character" w:customStyle="1" w:styleId="17">
    <w:name w:val="页眉 字符"/>
    <w:basedOn w:val="11"/>
    <w:link w:val="7"/>
    <w:qFormat/>
    <w:uiPriority w:val="99"/>
    <w:rPr>
      <w:sz w:val="18"/>
      <w:szCs w:val="18"/>
    </w:rPr>
  </w:style>
  <w:style w:type="character" w:customStyle="1" w:styleId="18">
    <w:name w:val="页脚 字符"/>
    <w:basedOn w:val="11"/>
    <w:link w:val="6"/>
    <w:qFormat/>
    <w:uiPriority w:val="99"/>
    <w:rPr>
      <w:sz w:val="18"/>
      <w:szCs w:val="18"/>
    </w:rPr>
  </w:style>
  <w:style w:type="character" w:customStyle="1" w:styleId="19">
    <w:name w:val="批注文字 字符"/>
    <w:basedOn w:val="11"/>
    <w:link w:val="4"/>
    <w:semiHidden/>
    <w:qFormat/>
    <w:uiPriority w:val="99"/>
  </w:style>
  <w:style w:type="character" w:customStyle="1" w:styleId="20">
    <w:name w:val="批注主题 字符"/>
    <w:basedOn w:val="19"/>
    <w:link w:val="9"/>
    <w:semiHidden/>
    <w:qFormat/>
    <w:uiPriority w:val="99"/>
    <w:rPr>
      <w:b/>
      <w:bCs/>
    </w:rPr>
  </w:style>
  <w:style w:type="character" w:customStyle="1" w:styleId="21">
    <w:name w:val="批注框文本 字符"/>
    <w:basedOn w:val="11"/>
    <w:link w:val="5"/>
    <w:semiHidden/>
    <w:qFormat/>
    <w:uiPriority w:val="99"/>
    <w:rPr>
      <w:sz w:val="18"/>
      <w:szCs w:val="18"/>
    </w:rPr>
  </w:style>
  <w:style w:type="paragraph" w:customStyle="1" w:styleId="22">
    <w:name w:val="列出段落1"/>
    <w:basedOn w:val="1"/>
    <w:qFormat/>
    <w:uiPriority w:val="34"/>
    <w:pPr>
      <w:ind w:firstLine="420" w:firstLineChars="200"/>
    </w:pPr>
  </w:style>
  <w:style w:type="character" w:customStyle="1" w:styleId="23">
    <w:name w:val="标题 3 字符"/>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19366-9975-4EBE-80A4-F383ED56B2D6}">
  <ds:schemaRefs/>
</ds:datastoreItem>
</file>

<file path=docProps/app.xml><?xml version="1.0" encoding="utf-8"?>
<Properties xmlns="http://schemas.openxmlformats.org/officeDocument/2006/extended-properties" xmlns:vt="http://schemas.openxmlformats.org/officeDocument/2006/docPropsVTypes">
  <Template>Normal.dotm</Template>
  <Pages>3</Pages>
  <Words>669</Words>
  <Characters>3816</Characters>
  <Lines>31</Lines>
  <Paragraphs>8</Paragraphs>
  <TotalTime>0</TotalTime>
  <ScaleCrop>false</ScaleCrop>
  <LinksUpToDate>false</LinksUpToDate>
  <CharactersWithSpaces>4477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郝祎鸣</cp:lastModifiedBy>
  <cp:lastPrinted>2019-06-18T01:35:00Z</cp:lastPrinted>
  <dcterms:modified xsi:type="dcterms:W3CDTF">2024-04-26T07:00:57Z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2B650C91D62048C5A637EA3D72B8F177</vt:lpwstr>
  </property>
</Properties>
</file>