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F55B1E">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1CDE2C04">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15BDB61D">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746A59D8">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01483EE4">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Style w:val="14"/>
          <w:rFonts w:hint="eastAsia" w:ascii="Helvetica" w:hAnsi="Helvetica" w:eastAsia="Helvetica" w:cs="Helvetica"/>
          <w:i w:val="0"/>
          <w:iCs w:val="0"/>
          <w:caps w:val="0"/>
          <w:color w:val="666666"/>
          <w:spacing w:val="0"/>
          <w:sz w:val="21"/>
          <w:szCs w:val="21"/>
          <w:u w:val="single"/>
        </w:rPr>
        <w:t>鲁西化工集团股份有限公司氯碱化工分公司所属氯化苄、苯甲醇、隔膜三套停运装置报废设备类资产</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3A21A91F">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6DBA6455">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7AEF90A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5871AFC9">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52E16521">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69CA8CFC">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6E2F146A">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5DA5F4E2">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5CD4E05E">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455FD6EB">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5B91647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74B16DC3">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50CD67F7">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0F66C0A6">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FC2952F">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5F99048D">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32E088A8">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262DE4C5">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00225F9A">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419AC003">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21EE4151">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7F51724C">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41AC403E">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20370175">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645380E9">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62BE9871">
      <w:pPr>
        <w:numPr>
          <w:ilvl w:val="0"/>
          <w:numId w:val="0"/>
        </w:numPr>
        <w:adjustRightInd w:val="0"/>
        <w:snapToGrid w:val="0"/>
        <w:spacing w:after="120" w:line="400" w:lineRule="exact"/>
        <w:ind w:right="0" w:rightChars="0" w:firstLine="420" w:firstLineChars="200"/>
        <w:rPr>
          <w:rFonts w:hint="eastAsia"/>
          <w:lang w:eastAsia="zh-CN"/>
        </w:rPr>
      </w:pP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。受让方在收到《结果通知单》后，应当按照信息披露公告的要求与转让方签署《资产交易合同》，并于签订《资产交易合同》之日起</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lang w:eastAsia="zh-CN"/>
        </w:rPr>
        <w:t>个工作日内支付应付交易价款及交易费用至产权中心指定账户。</w:t>
      </w:r>
      <w:bookmarkStart w:id="0" w:name="_GoBack"/>
      <w:bookmarkEnd w:id="0"/>
      <w:r>
        <w:rPr>
          <w:rFonts w:hint="eastAsia" w:ascii="宋体" w:hAnsi="宋体" w:eastAsia="宋体" w:cs="Times New Roman"/>
          <w:color w:val="auto"/>
          <w:szCs w:val="21"/>
          <w:highlight w:val="none"/>
          <w:lang w:eastAsia="zh-CN"/>
        </w:rPr>
        <w:t>若延期支付交易价款，则每逾期1天，应按全部交易价款的1‰支付违约金；且在此后5个工作日内仍未履行付款义务的，转让方有权单方解除合同，并要求受让方按照全部交易价款的10%承担违约责任。</w:t>
      </w:r>
      <w:r>
        <w:rPr>
          <w:rFonts w:hint="eastAsia" w:ascii="宋体" w:hAnsi="宋体" w:eastAsia="宋体" w:cs="Times New Roman"/>
          <w:szCs w:val="21"/>
        </w:rPr>
        <w:t>产权中心按照收费基数的相应比例分档递减累加收取基础服务费。</w:t>
      </w:r>
    </w:p>
    <w:p w14:paraId="761B5232">
      <w:pPr>
        <w:numPr>
          <w:ilvl w:val="0"/>
          <w:numId w:val="2"/>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协议成交：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17AC9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6603B3F3">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38B15B0D">
            <w:pPr>
              <w:pStyle w:val="2"/>
              <w:rPr>
                <w:rFonts w:hint="eastAsia"/>
                <w:vertAlign w:val="baseline"/>
                <w:lang w:eastAsia="zh-CN"/>
              </w:rPr>
            </w:pPr>
            <w:r>
              <w:rPr>
                <w:rFonts w:hint="eastAsia"/>
                <w:vertAlign w:val="baseline"/>
                <w:lang w:val="en-US" w:eastAsia="zh-CN"/>
              </w:rPr>
              <w:t>费率</w:t>
            </w:r>
          </w:p>
        </w:tc>
      </w:tr>
      <w:tr w14:paraId="1B2CB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17CE6CFB">
            <w:pPr>
              <w:pStyle w:val="2"/>
              <w:ind w:left="0" w:leftChars="0" w:firstLine="0" w:firstLineChars="0"/>
              <w:jc w:val="center"/>
              <w:rPr>
                <w:rFonts w:hint="default"/>
                <w:vertAlign w:val="baseline"/>
                <w:lang w:val="en-US" w:eastAsia="zh-CN"/>
              </w:rPr>
            </w:pPr>
            <w:r>
              <w:rPr>
                <w:rFonts w:hint="eastAsia"/>
                <w:vertAlign w:val="baseline"/>
                <w:lang w:val="en-US" w:eastAsia="zh-CN"/>
              </w:rPr>
              <w:t>转让底价</w:t>
            </w:r>
          </w:p>
        </w:tc>
        <w:tc>
          <w:tcPr>
            <w:tcW w:w="2520" w:type="dxa"/>
          </w:tcPr>
          <w:p w14:paraId="67832E2D">
            <w:pPr>
              <w:pStyle w:val="2"/>
              <w:rPr>
                <w:rFonts w:hint="default"/>
                <w:vertAlign w:val="baseline"/>
                <w:lang w:val="en-US" w:eastAsia="zh-CN"/>
              </w:rPr>
            </w:pPr>
            <w:r>
              <w:rPr>
                <w:rFonts w:hint="eastAsia"/>
                <w:vertAlign w:val="baseline"/>
                <w:lang w:val="en-US" w:eastAsia="zh-CN"/>
              </w:rPr>
              <w:t>10000以下（含）</w:t>
            </w:r>
          </w:p>
        </w:tc>
        <w:tc>
          <w:tcPr>
            <w:tcW w:w="2016" w:type="dxa"/>
          </w:tcPr>
          <w:p w14:paraId="707D1B0C">
            <w:pPr>
              <w:pStyle w:val="2"/>
              <w:rPr>
                <w:rFonts w:hint="default"/>
                <w:vertAlign w:val="baseline"/>
                <w:lang w:val="en-US" w:eastAsia="zh-CN"/>
              </w:rPr>
            </w:pPr>
            <w:r>
              <w:rPr>
                <w:rFonts w:hint="eastAsia"/>
                <w:vertAlign w:val="baseline"/>
                <w:lang w:val="en-US" w:eastAsia="zh-CN"/>
              </w:rPr>
              <w:t>0.1%</w:t>
            </w:r>
          </w:p>
        </w:tc>
      </w:tr>
      <w:tr w14:paraId="2B12C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389B8CBA">
            <w:pPr>
              <w:pStyle w:val="2"/>
              <w:rPr>
                <w:rFonts w:hint="eastAsia"/>
                <w:vertAlign w:val="baseline"/>
                <w:lang w:eastAsia="zh-CN"/>
              </w:rPr>
            </w:pPr>
          </w:p>
        </w:tc>
        <w:tc>
          <w:tcPr>
            <w:tcW w:w="2520" w:type="dxa"/>
          </w:tcPr>
          <w:p w14:paraId="24956958">
            <w:pPr>
              <w:pStyle w:val="2"/>
              <w:rPr>
                <w:rFonts w:hint="default"/>
                <w:vertAlign w:val="baseline"/>
                <w:lang w:val="en-US" w:eastAsia="zh-CN"/>
              </w:rPr>
            </w:pPr>
            <w:r>
              <w:rPr>
                <w:rFonts w:hint="eastAsia"/>
                <w:vertAlign w:val="baseline"/>
                <w:lang w:val="en-US" w:eastAsia="zh-CN"/>
              </w:rPr>
              <w:t>10000—50000（含）</w:t>
            </w:r>
          </w:p>
        </w:tc>
        <w:tc>
          <w:tcPr>
            <w:tcW w:w="2016" w:type="dxa"/>
          </w:tcPr>
          <w:p w14:paraId="233144DD">
            <w:pPr>
              <w:pStyle w:val="2"/>
              <w:rPr>
                <w:rFonts w:hint="default"/>
                <w:vertAlign w:val="baseline"/>
                <w:lang w:val="en-US" w:eastAsia="zh-CN"/>
              </w:rPr>
            </w:pPr>
            <w:r>
              <w:rPr>
                <w:rFonts w:hint="eastAsia"/>
                <w:vertAlign w:val="baseline"/>
                <w:lang w:val="en-US" w:eastAsia="zh-CN"/>
              </w:rPr>
              <w:t>0.08%</w:t>
            </w:r>
          </w:p>
        </w:tc>
      </w:tr>
      <w:tr w14:paraId="127FB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5E1DBE7F">
            <w:pPr>
              <w:pStyle w:val="2"/>
              <w:rPr>
                <w:rFonts w:hint="eastAsia"/>
                <w:vertAlign w:val="baseline"/>
                <w:lang w:eastAsia="zh-CN"/>
              </w:rPr>
            </w:pPr>
          </w:p>
        </w:tc>
        <w:tc>
          <w:tcPr>
            <w:tcW w:w="2520" w:type="dxa"/>
          </w:tcPr>
          <w:p w14:paraId="5269E122">
            <w:pPr>
              <w:pStyle w:val="2"/>
              <w:rPr>
                <w:rFonts w:hint="default"/>
                <w:vertAlign w:val="baseline"/>
                <w:lang w:val="en-US" w:eastAsia="zh-CN"/>
              </w:rPr>
            </w:pPr>
            <w:r>
              <w:rPr>
                <w:rFonts w:hint="eastAsia"/>
                <w:vertAlign w:val="baseline"/>
                <w:lang w:val="en-US" w:eastAsia="zh-CN"/>
              </w:rPr>
              <w:t>50000以上</w:t>
            </w:r>
          </w:p>
        </w:tc>
        <w:tc>
          <w:tcPr>
            <w:tcW w:w="2016" w:type="dxa"/>
          </w:tcPr>
          <w:p w14:paraId="5A831FB3">
            <w:pPr>
              <w:pStyle w:val="2"/>
              <w:rPr>
                <w:rFonts w:hint="default"/>
                <w:vertAlign w:val="baseline"/>
                <w:lang w:val="en-US" w:eastAsia="zh-CN"/>
              </w:rPr>
            </w:pPr>
            <w:r>
              <w:rPr>
                <w:rFonts w:hint="eastAsia"/>
                <w:vertAlign w:val="baseline"/>
                <w:lang w:val="en-US" w:eastAsia="zh-CN"/>
              </w:rPr>
              <w:t>0.05%</w:t>
            </w:r>
          </w:p>
        </w:tc>
      </w:tr>
    </w:tbl>
    <w:p w14:paraId="42F07CE6">
      <w:pPr>
        <w:pStyle w:val="2"/>
        <w:rPr>
          <w:rFonts w:hint="eastAsia"/>
          <w:lang w:eastAsia="zh-CN"/>
        </w:rPr>
      </w:pPr>
    </w:p>
    <w:p w14:paraId="70A27FDD">
      <w:pPr>
        <w:numPr>
          <w:ilvl w:val="0"/>
          <w:numId w:val="2"/>
        </w:numPr>
        <w:adjustRightInd w:val="0"/>
        <w:snapToGrid w:val="0"/>
        <w:spacing w:after="120" w:line="400" w:lineRule="exact"/>
        <w:ind w:left="0" w:leftChars="0"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竞价成交：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69BF5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211814B9">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1E34FAC8">
            <w:pPr>
              <w:pStyle w:val="2"/>
              <w:rPr>
                <w:rFonts w:hint="eastAsia"/>
                <w:vertAlign w:val="baseline"/>
                <w:lang w:eastAsia="zh-CN"/>
              </w:rPr>
            </w:pPr>
            <w:r>
              <w:rPr>
                <w:rFonts w:hint="eastAsia"/>
                <w:vertAlign w:val="baseline"/>
                <w:lang w:val="en-US" w:eastAsia="zh-CN"/>
              </w:rPr>
              <w:t>费率</w:t>
            </w:r>
          </w:p>
        </w:tc>
      </w:tr>
      <w:tr w14:paraId="2B55A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134DE696">
            <w:pPr>
              <w:pStyle w:val="2"/>
              <w:ind w:left="0" w:leftChars="0" w:firstLine="0" w:firstLineChars="0"/>
              <w:jc w:val="center"/>
              <w:rPr>
                <w:rFonts w:hint="default"/>
                <w:vertAlign w:val="baseline"/>
                <w:lang w:val="en-US" w:eastAsia="zh-CN"/>
              </w:rPr>
            </w:pPr>
            <w:r>
              <w:rPr>
                <w:rFonts w:hint="eastAsia"/>
                <w:vertAlign w:val="baseline"/>
                <w:lang w:val="en-US" w:eastAsia="zh-CN"/>
              </w:rPr>
              <w:t>成交价格</w:t>
            </w:r>
          </w:p>
        </w:tc>
        <w:tc>
          <w:tcPr>
            <w:tcW w:w="2520" w:type="dxa"/>
            <w:vAlign w:val="center"/>
          </w:tcPr>
          <w:p w14:paraId="2526B524">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500（含）以内</w:t>
            </w:r>
          </w:p>
        </w:tc>
        <w:tc>
          <w:tcPr>
            <w:tcW w:w="2016" w:type="dxa"/>
            <w:vAlign w:val="center"/>
          </w:tcPr>
          <w:p w14:paraId="03C106E2">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.5‰</w:t>
            </w:r>
          </w:p>
        </w:tc>
      </w:tr>
      <w:tr w14:paraId="7CF44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65FE4282">
            <w:pPr>
              <w:pStyle w:val="2"/>
              <w:rPr>
                <w:rFonts w:hint="eastAsia"/>
                <w:vertAlign w:val="baseline"/>
                <w:lang w:eastAsia="zh-CN"/>
              </w:rPr>
            </w:pPr>
          </w:p>
        </w:tc>
        <w:tc>
          <w:tcPr>
            <w:tcW w:w="2520" w:type="dxa"/>
            <w:vAlign w:val="center"/>
          </w:tcPr>
          <w:p w14:paraId="6794A83E">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500-1000（含）</w:t>
            </w:r>
          </w:p>
        </w:tc>
        <w:tc>
          <w:tcPr>
            <w:tcW w:w="2016" w:type="dxa"/>
            <w:vAlign w:val="center"/>
          </w:tcPr>
          <w:p w14:paraId="33157A00">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.5‰</w:t>
            </w:r>
          </w:p>
        </w:tc>
      </w:tr>
      <w:tr w14:paraId="48EE1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66BE6FEF">
            <w:pPr>
              <w:pStyle w:val="2"/>
              <w:rPr>
                <w:rFonts w:hint="eastAsia"/>
                <w:vertAlign w:val="baseline"/>
                <w:lang w:eastAsia="zh-CN"/>
              </w:rPr>
            </w:pPr>
          </w:p>
        </w:tc>
        <w:tc>
          <w:tcPr>
            <w:tcW w:w="2520" w:type="dxa"/>
            <w:vAlign w:val="center"/>
          </w:tcPr>
          <w:p w14:paraId="524E92FF">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1000-2000（含）</w:t>
            </w:r>
          </w:p>
        </w:tc>
        <w:tc>
          <w:tcPr>
            <w:tcW w:w="2016" w:type="dxa"/>
            <w:vAlign w:val="center"/>
          </w:tcPr>
          <w:p w14:paraId="3E787664">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7</w:t>
            </w:r>
            <w:r>
              <w:rPr>
                <w:rFonts w:hint="eastAsia" w:ascii="宋体" w:hAnsi="宋体" w:eastAsia="宋体" w:cs="宋体"/>
                <w:i w:val="0"/>
                <w:iCs w:val="0"/>
                <w:color w:val="000000"/>
                <w:kern w:val="0"/>
                <w:sz w:val="22"/>
                <w:szCs w:val="22"/>
                <w:u w:val="none"/>
                <w:lang w:val="en-US" w:eastAsia="zh-CN" w:bidi="ar"/>
              </w:rPr>
              <w:t>.5‰</w:t>
            </w:r>
          </w:p>
        </w:tc>
      </w:tr>
      <w:tr w14:paraId="21760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tcPr>
          <w:p w14:paraId="6FD9DD7B">
            <w:pPr>
              <w:pStyle w:val="2"/>
              <w:rPr>
                <w:rFonts w:hint="eastAsia"/>
                <w:vertAlign w:val="baseline"/>
                <w:lang w:eastAsia="zh-CN"/>
              </w:rPr>
            </w:pPr>
          </w:p>
        </w:tc>
        <w:tc>
          <w:tcPr>
            <w:tcW w:w="2520" w:type="dxa"/>
            <w:vAlign w:val="center"/>
          </w:tcPr>
          <w:p w14:paraId="451B0384">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eastAsia="宋体" w:cs="宋体"/>
                <w:i w:val="0"/>
                <w:iCs w:val="0"/>
                <w:color w:val="000000"/>
                <w:kern w:val="0"/>
                <w:sz w:val="22"/>
                <w:szCs w:val="22"/>
                <w:u w:val="none"/>
                <w:lang w:val="en-US" w:eastAsia="zh-CN" w:bidi="ar"/>
              </w:rPr>
              <w:t>2000-10000（含）</w:t>
            </w:r>
          </w:p>
        </w:tc>
        <w:tc>
          <w:tcPr>
            <w:tcW w:w="2016" w:type="dxa"/>
            <w:vAlign w:val="center"/>
          </w:tcPr>
          <w:p w14:paraId="6BB2ECC5">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cs="宋体"/>
                <w:i w:val="0"/>
                <w:iCs w:val="0"/>
                <w:color w:val="000000"/>
                <w:kern w:val="0"/>
                <w:sz w:val="22"/>
                <w:szCs w:val="22"/>
                <w:u w:val="none"/>
                <w:lang w:val="en-US" w:eastAsia="zh-CN" w:bidi="ar"/>
              </w:rPr>
              <w:t>6</w:t>
            </w:r>
            <w:r>
              <w:rPr>
                <w:rFonts w:hint="eastAsia" w:ascii="宋体" w:hAnsi="宋体" w:eastAsia="宋体" w:cs="宋体"/>
                <w:i w:val="0"/>
                <w:iCs w:val="0"/>
                <w:color w:val="000000"/>
                <w:kern w:val="0"/>
                <w:sz w:val="22"/>
                <w:szCs w:val="22"/>
                <w:u w:val="none"/>
                <w:lang w:val="en-US" w:eastAsia="zh-CN" w:bidi="ar"/>
              </w:rPr>
              <w:t>‰</w:t>
            </w:r>
          </w:p>
        </w:tc>
      </w:tr>
    </w:tbl>
    <w:p w14:paraId="29C19A87">
      <w:pPr>
        <w:pStyle w:val="2"/>
        <w:ind w:left="0" w:leftChars="0" w:firstLine="0" w:firstLineChars="0"/>
        <w:rPr>
          <w:rFonts w:hint="default"/>
          <w:lang w:val="en-US" w:eastAsia="zh-CN"/>
        </w:rPr>
      </w:pPr>
    </w:p>
    <w:p w14:paraId="36549CD3">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64B313F1">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6D519165">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045FB8B2">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2C140F16">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3FA41243">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7192B17C">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315F1ED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37A3734B">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24C646C1">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15A4C06B">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06DFB019">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122F1734">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3785A4E2">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75825A95">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6EFC8775">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06A13C48">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0BE0618B">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4D266765">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w:t>
      </w:r>
      <w:r>
        <w:rPr>
          <w:rFonts w:hint="eastAsia" w:cs="宋体" w:asciiTheme="minorEastAsia" w:hAnsiTheme="minorEastAsia"/>
          <w:color w:val="auto"/>
          <w:kern w:val="0"/>
          <w:szCs w:val="21"/>
          <w:highlight w:val="none"/>
          <w:u w:val="single"/>
          <w:lang w:val="en-US" w:eastAsia="zh-CN"/>
        </w:rPr>
        <w:t>聊城市东昌府区人民法院</w:t>
      </w:r>
      <w:r>
        <w:rPr>
          <w:rFonts w:hint="eastAsia" w:cs="宋体" w:asciiTheme="minorEastAsia" w:hAnsiTheme="minorEastAsia"/>
          <w:color w:val="auto"/>
          <w:kern w:val="0"/>
          <w:szCs w:val="21"/>
          <w:highlight w:val="none"/>
          <w:lang w:val="en-US" w:eastAsia="zh-CN"/>
        </w:rPr>
        <w:t>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7E5DB6D0">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69A81AED">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25EA3A8D">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505121A4">
      <w:pPr>
        <w:widowControl/>
        <w:spacing w:line="320" w:lineRule="exact"/>
        <w:ind w:left="-283" w:leftChars="-135" w:right="-199" w:rightChars="-95" w:firstLine="163" w:firstLineChars="78"/>
        <w:rPr>
          <w:rFonts w:asciiTheme="minorEastAsia" w:hAnsiTheme="minorEastAsia"/>
          <w:kern w:val="0"/>
          <w:szCs w:val="21"/>
        </w:rPr>
      </w:pPr>
    </w:p>
    <w:p w14:paraId="25CDADCE">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6EC07461">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708C2D8C">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1506DC6">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3732F57">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1511EA"/>
    <w:multiLevelType w:val="singleLevel"/>
    <w:tmpl w:val="471511EA"/>
    <w:lvl w:ilvl="0" w:tentative="0">
      <w:start w:val="1"/>
      <w:numFmt w:val="decimal"/>
      <w:suff w:val="nothing"/>
      <w:lvlText w:val="%1、"/>
      <w:lvlJc w:val="left"/>
    </w:lvl>
  </w:abstractNum>
  <w:abstractNum w:abstractNumId="1">
    <w:nsid w:val="5FDC4BC1"/>
    <w:multiLevelType w:val="singleLevel"/>
    <w:tmpl w:val="5FDC4BC1"/>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2ZTZjZWIzMTI4ZTAyNWVkYmY4MjAzOWFlODIwM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331645E"/>
    <w:rsid w:val="061422BE"/>
    <w:rsid w:val="09FB06F6"/>
    <w:rsid w:val="0A22796E"/>
    <w:rsid w:val="0B2842C7"/>
    <w:rsid w:val="0B5D39B7"/>
    <w:rsid w:val="0C2D1003"/>
    <w:rsid w:val="0C741827"/>
    <w:rsid w:val="0CB02467"/>
    <w:rsid w:val="0D471B4E"/>
    <w:rsid w:val="0E034D80"/>
    <w:rsid w:val="0EF44F7D"/>
    <w:rsid w:val="0F35708A"/>
    <w:rsid w:val="112B4874"/>
    <w:rsid w:val="11501FDA"/>
    <w:rsid w:val="13AF388A"/>
    <w:rsid w:val="13ED28B7"/>
    <w:rsid w:val="14514C12"/>
    <w:rsid w:val="155A27BA"/>
    <w:rsid w:val="168B425A"/>
    <w:rsid w:val="16C45343"/>
    <w:rsid w:val="17013C0B"/>
    <w:rsid w:val="174A5679"/>
    <w:rsid w:val="177858BB"/>
    <w:rsid w:val="17B44C75"/>
    <w:rsid w:val="1D4E0CEB"/>
    <w:rsid w:val="1E064AD3"/>
    <w:rsid w:val="1FE509E1"/>
    <w:rsid w:val="20892574"/>
    <w:rsid w:val="22777C19"/>
    <w:rsid w:val="25550BE1"/>
    <w:rsid w:val="2558635A"/>
    <w:rsid w:val="27270166"/>
    <w:rsid w:val="285A1A45"/>
    <w:rsid w:val="28CD0786"/>
    <w:rsid w:val="2AAB69FD"/>
    <w:rsid w:val="2AD44E1B"/>
    <w:rsid w:val="2CE34BB3"/>
    <w:rsid w:val="2F1D48C1"/>
    <w:rsid w:val="2F6B36F7"/>
    <w:rsid w:val="305A69BA"/>
    <w:rsid w:val="30D0446A"/>
    <w:rsid w:val="31387F55"/>
    <w:rsid w:val="31B51441"/>
    <w:rsid w:val="32D62C02"/>
    <w:rsid w:val="35B90CEC"/>
    <w:rsid w:val="37B47B69"/>
    <w:rsid w:val="391852B3"/>
    <w:rsid w:val="39EB7DA1"/>
    <w:rsid w:val="3B0F67E3"/>
    <w:rsid w:val="3B2F0785"/>
    <w:rsid w:val="3B7261A2"/>
    <w:rsid w:val="3BCA26B2"/>
    <w:rsid w:val="3D5A2677"/>
    <w:rsid w:val="3E3437B7"/>
    <w:rsid w:val="40E92B8C"/>
    <w:rsid w:val="41296F7D"/>
    <w:rsid w:val="42F3713C"/>
    <w:rsid w:val="437C629C"/>
    <w:rsid w:val="44CD7D2F"/>
    <w:rsid w:val="454D5A72"/>
    <w:rsid w:val="461126B7"/>
    <w:rsid w:val="473012A4"/>
    <w:rsid w:val="49D224B3"/>
    <w:rsid w:val="4AF42C45"/>
    <w:rsid w:val="4B030BDC"/>
    <w:rsid w:val="4B2A3500"/>
    <w:rsid w:val="4B82728F"/>
    <w:rsid w:val="4BA0201A"/>
    <w:rsid w:val="4C130BC6"/>
    <w:rsid w:val="4D35472E"/>
    <w:rsid w:val="4E92230C"/>
    <w:rsid w:val="4F7C3164"/>
    <w:rsid w:val="512B50B0"/>
    <w:rsid w:val="516A3F49"/>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EC3C32"/>
    <w:rsid w:val="6A796104"/>
    <w:rsid w:val="6B065FBA"/>
    <w:rsid w:val="6B8D66FD"/>
    <w:rsid w:val="6C41617C"/>
    <w:rsid w:val="6D2B51D5"/>
    <w:rsid w:val="6E8F6B1F"/>
    <w:rsid w:val="6ED07EE6"/>
    <w:rsid w:val="72A44A1F"/>
    <w:rsid w:val="745F3BFC"/>
    <w:rsid w:val="74C579FA"/>
    <w:rsid w:val="78AE17AF"/>
    <w:rsid w:val="78BE37C7"/>
    <w:rsid w:val="796B5106"/>
    <w:rsid w:val="7A081859"/>
    <w:rsid w:val="7A506D6A"/>
    <w:rsid w:val="7A8A3874"/>
    <w:rsid w:val="7BB64C3F"/>
    <w:rsid w:val="7C3C062E"/>
    <w:rsid w:val="7CD42145"/>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0"/>
    <w:pPr>
      <w:keepNext/>
      <w:keepLines/>
      <w:spacing w:after="120"/>
      <w:outlineLvl w:val="0"/>
    </w:pPr>
    <w:rPr>
      <w:rFonts w:eastAsia="黑体"/>
      <w:b/>
      <w:bCs/>
      <w:kern w:val="44"/>
      <w:szCs w:val="44"/>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2"/>
    <w:unhideWhenUsed/>
    <w:qFormat/>
    <w:uiPriority w:val="99"/>
    <w:pPr>
      <w:jc w:val="left"/>
    </w:pPr>
  </w:style>
  <w:style w:type="paragraph" w:styleId="6">
    <w:name w:val="Balloon Text"/>
    <w:basedOn w:val="1"/>
    <w:link w:val="24"/>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3"/>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Char"/>
    <w:basedOn w:val="13"/>
    <w:link w:val="3"/>
    <w:qFormat/>
    <w:uiPriority w:val="0"/>
    <w:rPr>
      <w:rFonts w:eastAsia="黑体"/>
      <w:b/>
      <w:bCs/>
      <w:kern w:val="44"/>
      <w:sz w:val="32"/>
      <w:szCs w:val="44"/>
    </w:rPr>
  </w:style>
  <w:style w:type="paragraph" w:customStyle="1" w:styleId="18">
    <w:name w:val="小小标题"/>
    <w:basedOn w:val="3"/>
    <w:qFormat/>
    <w:uiPriority w:val="0"/>
    <w:pPr>
      <w:ind w:firstLine="640"/>
    </w:pPr>
    <w:rPr>
      <w:rFonts w:ascii="Times New Roman" w:hAnsi="Times New Roman" w:eastAsia="楷体_GB2312" w:cs="Times New Roman"/>
    </w:rPr>
  </w:style>
  <w:style w:type="character" w:customStyle="1" w:styleId="19">
    <w:name w:val="标题 Char"/>
    <w:basedOn w:val="13"/>
    <w:link w:val="9"/>
    <w:qFormat/>
    <w:uiPriority w:val="0"/>
    <w:rPr>
      <w:rFonts w:eastAsia="方正小标宋简体" w:asciiTheme="majorHAnsi" w:hAnsiTheme="majorHAnsi" w:cstheme="majorBidi"/>
      <w:kern w:val="44"/>
      <w:sz w:val="44"/>
      <w:szCs w:val="32"/>
    </w:rPr>
  </w:style>
  <w:style w:type="character" w:customStyle="1" w:styleId="20">
    <w:name w:val="页眉 Char"/>
    <w:basedOn w:val="13"/>
    <w:link w:val="8"/>
    <w:qFormat/>
    <w:uiPriority w:val="99"/>
    <w:rPr>
      <w:sz w:val="18"/>
      <w:szCs w:val="18"/>
    </w:rPr>
  </w:style>
  <w:style w:type="character" w:customStyle="1" w:styleId="21">
    <w:name w:val="页脚 Char"/>
    <w:basedOn w:val="13"/>
    <w:link w:val="7"/>
    <w:qFormat/>
    <w:uiPriority w:val="99"/>
    <w:rPr>
      <w:sz w:val="18"/>
      <w:szCs w:val="18"/>
    </w:rPr>
  </w:style>
  <w:style w:type="character" w:customStyle="1" w:styleId="22">
    <w:name w:val="批注文字 Char"/>
    <w:basedOn w:val="13"/>
    <w:link w:val="5"/>
    <w:semiHidden/>
    <w:qFormat/>
    <w:uiPriority w:val="99"/>
  </w:style>
  <w:style w:type="character" w:customStyle="1" w:styleId="23">
    <w:name w:val="批注主题 Char"/>
    <w:basedOn w:val="22"/>
    <w:link w:val="10"/>
    <w:semiHidden/>
    <w:qFormat/>
    <w:uiPriority w:val="99"/>
    <w:rPr>
      <w:b/>
      <w:bCs/>
    </w:rPr>
  </w:style>
  <w:style w:type="character" w:customStyle="1" w:styleId="24">
    <w:name w:val="批注框文本 Char"/>
    <w:basedOn w:val="13"/>
    <w:link w:val="6"/>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4172</Words>
  <Characters>4270</Characters>
  <Lines>33</Lines>
  <Paragraphs>9</Paragraphs>
  <TotalTime>8</TotalTime>
  <ScaleCrop>false</ScaleCrop>
  <LinksUpToDate>false</LinksUpToDate>
  <CharactersWithSpaces>4540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脱离高级趣味的人</cp:lastModifiedBy>
  <cp:lastPrinted>2019-06-18T01:35:00Z</cp:lastPrinted>
  <dcterms:modified xsi:type="dcterms:W3CDTF">2025-11-27T00:51:02Z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883B12DA28EC498B8AA23838BCBCC67D_13</vt:lpwstr>
  </property>
  <property fmtid="{D5CDD505-2E9C-101B-9397-08002B2CF9AE}" pid="4" name="KSOTemplateDocerSaveRecord">
    <vt:lpwstr>eyJoZGlkIjoiNmIxYTM5MDE1NTEzMzBlZGY0M2YwYWVhYTU3ZmM4NTYiLCJ1c2VySWQiOiI3NTQ3MTExOTMifQ==</vt:lpwstr>
  </property>
</Properties>
</file>