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tabs>
          <w:tab w:val="left" w:pos="630"/>
        </w:tabs>
        <w:spacing w:line="560" w:lineRule="exact"/>
        <w:ind w:firstLine="0" w:firstLineChars="0"/>
        <w:rPr>
          <w:rFonts w:hint="eastAsia" w:cs="Tahoma" w:asciiTheme="minorEastAsia" w:hAnsiTheme="minorEastAsia" w:eastAsiaTheme="minorEastAsia"/>
          <w:b/>
          <w:bCs/>
          <w:color w:val="000000" w:themeColor="text1"/>
          <w:sz w:val="44"/>
          <w:szCs w:val="44"/>
          <w14:textFill>
            <w14:solidFill>
              <w14:schemeClr w14:val="tx1"/>
            </w14:solidFill>
          </w14:textFill>
        </w:rPr>
      </w:pP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提示：</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如合同可加水印，水印有编号,且可完整显示</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可删除此处编</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号</w:t>
      </w: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p>
    <w:p>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spacing w:line="560" w:lineRule="exact"/>
        <w:jc w:val="center"/>
        <w:rPr>
          <w:rFonts w:ascii="楷体_GB2312" w:hAnsi="宋体" w:eastAsia="楷体_GB2312"/>
          <w:color w:val="000000" w:themeColor="text1"/>
          <w:sz w:val="32"/>
          <w:szCs w:val="32"/>
          <w14:textFill>
            <w14:solidFill>
              <w14:schemeClr w14:val="tx1"/>
            </w14:solidFill>
          </w14:textFill>
        </w:rPr>
      </w:pPr>
    </w:p>
    <w:p>
      <w:pPr>
        <w:spacing w:line="560" w:lineRule="exact"/>
        <w:rPr>
          <w:rFonts w:asciiTheme="minorEastAsia" w:hAnsiTheme="minorEastAsia" w:eastAsiaTheme="minorEastAsia"/>
          <w:b/>
          <w:bCs/>
          <w:color w:val="000000" w:themeColor="text1"/>
          <w:sz w:val="48"/>
          <w:szCs w:val="48"/>
          <w14:textFill>
            <w14:solidFill>
              <w14:schemeClr w14:val="tx1"/>
            </w14:solidFill>
          </w14:textFill>
        </w:rPr>
      </w:pPr>
    </w:p>
    <w:p>
      <w:pPr>
        <w:pStyle w:val="13"/>
        <w:shd w:val="clear" w:color="auto" w:fill="FFFFFF"/>
        <w:spacing w:line="480" w:lineRule="atLeast"/>
        <w:ind w:left="482" w:hanging="482"/>
        <w:jc w:val="both"/>
        <w:rPr>
          <w:rFonts w:hint="eastAsia"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3"/>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杨震</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：济南市经三路89号</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协议签订地点：济南市经三路89号</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6"/>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编号：[       ]）。</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如有多个签署主体请根据实际情况调整相关表述。</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w:t>
      </w:r>
    </w:p>
    <w:p>
      <w:pPr>
        <w:pStyle w:val="6"/>
        <w:tabs>
          <w:tab w:val="left" w:pos="8364"/>
        </w:tabs>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6"/>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w:t>
      </w:r>
      <w:r>
        <w:rPr>
          <w:rFonts w:hint="eastAsia" w:asciiTheme="minorEastAsia" w:hAnsiTheme="minorEastAsia" w:eastAsiaTheme="minorEastAsia"/>
          <w:color w:val="000000" w:themeColor="text1"/>
          <w:kern w:val="0"/>
          <w:sz w:val="28"/>
          <w:szCs w:val="28"/>
          <w:highlight w:val="none"/>
          <w14:textFill>
            <w14:solidFill>
              <w14:schemeClr w14:val="tx1"/>
            </w14:solidFill>
          </w14:textFill>
        </w:rPr>
        <w:t>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还款</w:t>
      </w:r>
      <w:r>
        <w:rPr>
          <w:rFonts w:hint="eastAsia" w:asciiTheme="minorEastAsia" w:hAnsiTheme="minorEastAsia" w:eastAsiaTheme="minorEastAsia"/>
          <w:color w:val="000000" w:themeColor="text1"/>
          <w:sz w:val="28"/>
          <w:szCs w:val="28"/>
          <w:highlight w:val="none"/>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和解协议、抵债协议，或接受法院抵债裁定，而这些协议并未履行完毕或抵债物未完成过户，因此，乙方受让的对该等债务人（包括担保人）的债权，已从原始的贷款</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、担保</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highlight w:val="yellow"/>
          <w14:textFill>
            <w14:solidFill>
              <w14:schemeClr w14:val="tx1"/>
            </w14:solidFill>
          </w14:textFill>
        </w:rPr>
        <w:t>[   ]年[   ]月[   ]日</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highlight w:val="yellow"/>
          <w14:textFill>
            <w14:solidFill>
              <w14:schemeClr w14:val="tx1"/>
            </w14:solidFill>
          </w14:textFill>
        </w:rPr>
        <w:t>截至交易基准日</w:t>
      </w:r>
      <w:r>
        <w:rPr>
          <w:rFonts w:hint="eastAsia" w:asciiTheme="minorEastAsia" w:hAnsiTheme="minorEastAsia" w:eastAsiaTheme="minorEastAsia"/>
          <w:color w:val="000000" w:themeColor="text1"/>
          <w:sz w:val="28"/>
          <w:szCs w:val="28"/>
          <w:highlight w:val="yellow"/>
          <w14:textFill>
            <w14:solidFill>
              <w14:schemeClr w14:val="tx1"/>
            </w14:solidFill>
          </w14:textFill>
        </w:rPr>
        <w:t>，标的债权本息总额为人民币 [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，其中</w:t>
      </w:r>
      <w:r>
        <w:rPr>
          <w:rFonts w:asciiTheme="minorEastAsia" w:hAnsiTheme="minorEastAsia" w:eastAsiaTheme="minorEastAsia"/>
          <w:color w:val="000000" w:themeColor="text1"/>
          <w:sz w:val="28"/>
          <w:szCs w:val="28"/>
          <w:highlight w:val="yellow"/>
          <w14:textFill>
            <w14:solidFill>
              <w14:schemeClr w14:val="tx1"/>
            </w14:solidFill>
          </w14:textFill>
        </w:rPr>
        <w:t>本金余额人民币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欠息</w:t>
      </w:r>
      <w:r>
        <w:rPr>
          <w:rFonts w:asciiTheme="minorEastAsia" w:hAnsiTheme="minorEastAsia" w:eastAsiaTheme="minorEastAsia"/>
          <w:color w:val="000000" w:themeColor="text1"/>
          <w:sz w:val="28"/>
          <w:szCs w:val="28"/>
          <w:highlight w:val="yellow"/>
          <w14:textFill>
            <w14:solidFill>
              <w14:schemeClr w14:val="tx1"/>
            </w14:solidFill>
          </w14:textFill>
        </w:rPr>
        <w:t>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小</w:t>
      </w:r>
      <w:r>
        <w:rPr>
          <w:rFonts w:asciiTheme="minorEastAsia" w:hAnsiTheme="minorEastAsia" w:eastAsiaTheme="minorEastAsia"/>
          <w:color w:val="000000" w:themeColor="text1"/>
          <w:sz w:val="28"/>
          <w:szCs w:val="28"/>
          <w:highlight w:val="yellow"/>
          <w14:textFill>
            <w14:solidFill>
              <w14:schemeClr w14:val="tx1"/>
            </w14:solidFill>
          </w14:textFill>
        </w:rPr>
        <w:t>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commentRangeStart w:id="0"/>
      <w:r>
        <w:rPr>
          <w:rFonts w:asciiTheme="minorEastAsia" w:hAnsiTheme="minorEastAsia" w:eastAsiaTheme="minorEastAsia"/>
          <w:color w:val="000000" w:themeColor="text1"/>
          <w:sz w:val="28"/>
          <w:szCs w:val="28"/>
          <w14:textFill>
            <w14:solidFill>
              <w14:schemeClr w14:val="tx1"/>
            </w14:solidFill>
          </w14:textFill>
        </w:rPr>
        <w:t>。</w:t>
      </w:r>
      <w:commentRangeEnd w:id="0"/>
      <w:r>
        <w:commentReference w:id="0"/>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w:t>
      </w:r>
      <w:r>
        <w:rPr>
          <w:rFonts w:asciiTheme="minorEastAsia" w:hAnsiTheme="minorEastAsia" w:eastAsiaTheme="minorEastAsia"/>
          <w:color w:val="000000" w:themeColor="text1"/>
          <w:sz w:val="28"/>
          <w:szCs w:val="28"/>
          <w14:textFill>
            <w14:solidFill>
              <w14:schemeClr w14:val="tx1"/>
            </w14:solidFill>
          </w14:textFill>
        </w:rPr>
        <w:t>费用（律师费、</w:t>
      </w:r>
      <w:commentRangeStart w:id="1"/>
      <w:r>
        <w:rPr>
          <w:rFonts w:asciiTheme="minorEastAsia" w:hAnsiTheme="minorEastAsia" w:eastAsiaTheme="minorEastAsia"/>
          <w:color w:val="000000" w:themeColor="text1"/>
          <w:sz w:val="28"/>
          <w:szCs w:val="28"/>
          <w14:textFill>
            <w14:solidFill>
              <w14:schemeClr w14:val="tx1"/>
            </w14:solidFill>
          </w14:textFill>
        </w:rPr>
        <w:t>诉讼费</w:t>
      </w:r>
      <w:commentRangeEnd w:id="1"/>
      <w:r>
        <w:commentReference w:id="1"/>
      </w:r>
      <w:r>
        <w:rPr>
          <w:rFonts w:asciiTheme="minorEastAsia" w:hAnsiTheme="minorEastAsia" w:eastAsiaTheme="minorEastAsia"/>
          <w:color w:val="000000" w:themeColor="text1"/>
          <w:sz w:val="28"/>
          <w:szCs w:val="28"/>
          <w14:textFill>
            <w14:solidFill>
              <w14:schemeClr w14:val="tx1"/>
            </w14:solidFill>
          </w14:textFill>
        </w:rPr>
        <w:t>、评估费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w:t>
      </w:r>
      <w:r>
        <w:rPr>
          <w:rFonts w:asciiTheme="minorEastAsia" w:hAnsiTheme="minorEastAsia" w:eastAsiaTheme="minorEastAsia"/>
          <w:color w:val="000000" w:themeColor="text1"/>
          <w:sz w:val="28"/>
          <w:szCs w:val="28"/>
          <w14:textFill>
            <w14:solidFill>
              <w14:schemeClr w14:val="tx1"/>
            </w14:solidFill>
          </w14:textFill>
        </w:rPr>
        <w:t>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b/>
          <w:bCs/>
          <w:color w:val="000000" w:themeColor="text1"/>
          <w:sz w:val="28"/>
          <w:szCs w:val="28"/>
          <w:highlight w:val="yellow"/>
          <w14:textFill>
            <w14:solidFill>
              <w14:schemeClr w14:val="tx1"/>
            </w14:solidFill>
          </w14:textFill>
        </w:rPr>
        <w:t>[   ]年[   ]月[   ]日</w:t>
      </w:r>
      <w:r>
        <w:rPr>
          <w:rFonts w:hint="eastAsia" w:asciiTheme="minorEastAsia" w:hAnsiTheme="minorEastAsia" w:eastAsiaTheme="minorEastAsia"/>
          <w:b/>
          <w:bCs/>
          <w:color w:val="000000" w:themeColor="text1"/>
          <w:sz w:val="28"/>
          <w:szCs w:val="28"/>
          <w14:textFill>
            <w14:solidFill>
              <w14:schemeClr w14:val="tx1"/>
            </w14:solidFill>
          </w14:textFill>
        </w:rPr>
        <w:t>止的统计资料所作的一般性描述，可能存在</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较大</w:t>
      </w:r>
      <w:r>
        <w:rPr>
          <w:rFonts w:hint="eastAsia" w:asciiTheme="minorEastAsia" w:hAnsiTheme="minorEastAsia" w:eastAsiaTheme="minorEastAsia"/>
          <w:b/>
          <w:bCs/>
          <w:color w:val="000000" w:themeColor="text1"/>
          <w:sz w:val="28"/>
          <w:szCs w:val="28"/>
          <w14:textFill>
            <w14:solidFill>
              <w14:schemeClr w14:val="tx1"/>
            </w14:solidFill>
          </w14:textFill>
        </w:rPr>
        <w:t>计算误差、记录错误，或因其他原因导致乙方实际接收的标的债权所涉金额（包括但不限于本息数，下同）与附件一《标的债权清单》所列金额不完全一致，甲方对此等金额误差、记录错误无须承担任何责任；</w:t>
      </w:r>
      <w:r>
        <w:rPr>
          <w:rFonts w:ascii="宋体" w:hAnsi="宋体" w:eastAsia="宋体" w:cs="宋体"/>
          <w:sz w:val="24"/>
          <w:szCs w:val="24"/>
        </w:rPr>
        <w:br w:type="textWrapping"/>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实际利息数额以及迟延履行金金额应以相关合同、生效法律文书及法律规定等为准；</w:t>
      </w:r>
      <w:r>
        <w:rPr>
          <w:rFonts w:ascii="宋体" w:hAnsi="宋体" w:eastAsia="宋体" w:cs="宋体"/>
          <w:sz w:val="24"/>
          <w:szCs w:val="24"/>
          <w:lang w:eastAsia="zh-CN"/>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甲方此次系按照标的债权的现状进行转让，若该等债权的有效性、金额与甲方判断或裁判机构最终认定的有效性、金额存在差别、误差，并不属于甲方违约。</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乙方确认，基准日前发生的甲方</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或原债权人</w:t>
      </w:r>
      <w:r>
        <w:rPr>
          <w:rFonts w:hint="eastAsia" w:asciiTheme="minorEastAsia" w:hAnsiTheme="minorEastAsia" w:eastAsiaTheme="minorEastAsia"/>
          <w:b/>
          <w:bCs/>
          <w:color w:val="000000" w:themeColor="text1"/>
          <w:sz w:val="28"/>
          <w:szCs w:val="28"/>
          <w14:textFill>
            <w14:solidFill>
              <w14:schemeClr w14:val="tx1"/>
            </w14:solidFill>
          </w14:textFill>
        </w:rPr>
        <w:t>为实现债权而支付的</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代垫</w:t>
      </w:r>
      <w:r>
        <w:rPr>
          <w:rFonts w:hint="eastAsia" w:asciiTheme="minorEastAsia" w:hAnsiTheme="minorEastAsia" w:eastAsiaTheme="minorEastAsia"/>
          <w:b/>
          <w:bCs/>
          <w:color w:val="000000" w:themeColor="text1"/>
          <w:sz w:val="28"/>
          <w:szCs w:val="28"/>
          <w14:textFill>
            <w14:solidFill>
              <w14:schemeClr w14:val="tx1"/>
            </w14:solidFill>
          </w14:textFill>
        </w:rPr>
        <w:t>费用仅作为其他债权做零定价转让，因该部分债权无法实现、无法得到法律支持等，不影响整体债权的定价及转让效力。</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0" w:name="_Toc36022322"/>
      <w:bookmarkStart w:id="1" w:name="_Toc67718726"/>
      <w:bookmarkStart w:id="2" w:name="_Toc67385974"/>
      <w:bookmarkStart w:id="3"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0"/>
      <w:bookmarkEnd w:id="4"/>
      <w:bookmarkStart w:id="5" w:name="_DV_M53"/>
      <w:bookmarkEnd w:id="5"/>
      <w:bookmarkStart w:id="6" w:name="_Hlt99790241"/>
      <w:bookmarkEnd w:id="6"/>
      <w:bookmarkStart w:id="7" w:name="_DV_M52"/>
      <w:bookmarkEnd w:id="7"/>
      <w:bookmarkStart w:id="8" w:name="_DV_M51"/>
      <w:bookmarkEnd w:id="8"/>
      <w:bookmarkStart w:id="9" w:name="_DV_M49"/>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一致同意，本协议项下标的债权的转让价款为人民币</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yellow"/>
          <w14:textFill>
            <w14:solidFill>
              <w14:schemeClr w14:val="tx1"/>
            </w14:solidFill>
          </w14:textFill>
        </w:rPr>
        <w:t>（小写：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p>
    <w:p>
      <w:pPr>
        <w:spacing w:line="560" w:lineRule="exact"/>
        <w:ind w:firstLine="56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pPr>
        <w:pStyle w:val="26"/>
        <w:widowControl w:val="0"/>
        <w:spacing w:line="560" w:lineRule="exact"/>
        <w:ind w:firstLine="560" w:firstLineChars="200"/>
        <w:rPr>
          <w:rFonts w:ascii="宋体" w:hAnsi="宋体"/>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6"/>
        <w:widowControl w:val="0"/>
        <w:spacing w:line="560" w:lineRule="exact"/>
        <w:rPr>
          <w:rFonts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pPr>
        <w:pStyle w:val="26"/>
        <w:widowControl w:val="0"/>
        <w:spacing w:line="560" w:lineRule="exact"/>
        <w:ind w:firstLine="425" w:firstLineChars="152"/>
        <w:rPr>
          <w:rFonts w:asciiTheme="minorEastAsia" w:hAnsiTheme="minorEastAsia" w:eastAsiaTheme="minorEastAsia"/>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asciiTheme="minorEastAsia" w:hAnsiTheme="minorEastAsia" w:eastAsiaTheme="minorEastAsia"/>
          <w:bCs/>
          <w:color w:val="000000" w:themeColor="text1"/>
          <w:sz w:val="28"/>
          <w:szCs w:val="28"/>
          <w:highlight w:val="none"/>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甲方的指定账户为：</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开户银行：中国工商银行股份有限公司济南槐荫支行</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户名：中国中信金融资产管理股份有限公司山东省分公司</w:t>
      </w:r>
    </w:p>
    <w:p>
      <w:pPr>
        <w:pStyle w:val="26"/>
        <w:widowControl w:val="0"/>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账</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号</w:t>
      </w:r>
      <w:r>
        <w:rPr>
          <w:rFonts w:hint="eastAsia" w:asciiTheme="minorEastAsia" w:hAnsiTheme="minorEastAsia" w:eastAsiaTheme="minorEastAsia"/>
          <w:color w:val="000000" w:themeColor="text1"/>
          <w:sz w:val="28"/>
          <w:szCs w:val="28"/>
          <w:highlight w:val="yellow"/>
          <w14:textFill>
            <w14:solidFill>
              <w14:schemeClr w14:val="tx1"/>
            </w14:solidFill>
          </w14:textFill>
        </w:rPr>
        <w:t>：1602006319200295383</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yellow"/>
          <w14:textFill>
            <w14:solidFill>
              <w14:schemeClr w14:val="tx1"/>
            </w14:solidFill>
          </w14:textFill>
        </w:rPr>
        <w:t>确认，</w:t>
      </w:r>
      <w:r>
        <w:rPr>
          <w:rFonts w:asciiTheme="minorEastAsia" w:hAnsiTheme="minorEastAsia" w:eastAsiaTheme="minorEastAsia"/>
          <w:color w:val="000000" w:themeColor="text1"/>
          <w:sz w:val="28"/>
          <w:szCs w:val="28"/>
          <w:highlight w:val="yellow"/>
          <w14:textFill>
            <w14:solidFill>
              <w14:schemeClr w14:val="tx1"/>
            </w14:solidFill>
          </w14:textFill>
        </w:rPr>
        <w:t>乙方已于</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年</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月</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日向</w:t>
      </w:r>
      <w:r>
        <w:rPr>
          <w:rFonts w:hint="eastAsia" w:asciiTheme="minorEastAsia" w:hAnsiTheme="minorEastAsia" w:eastAsiaTheme="minorEastAsia"/>
          <w:color w:val="000000" w:themeColor="text1"/>
          <w:sz w:val="28"/>
          <w:szCs w:val="28"/>
          <w:highlight w:val="yellow"/>
          <w14:textFill>
            <w14:solidFill>
              <w14:schemeClr w14:val="tx1"/>
            </w14:solidFill>
          </w14:textFill>
        </w:rPr>
        <w:t>甲</w:t>
      </w:r>
      <w:r>
        <w:rPr>
          <w:rFonts w:asciiTheme="minorEastAsia" w:hAnsiTheme="minorEastAsia" w:eastAsiaTheme="minorEastAsia"/>
          <w:color w:val="000000" w:themeColor="text1"/>
          <w:sz w:val="28"/>
          <w:szCs w:val="28"/>
          <w:highlight w:val="yellow"/>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highlight w:val="yellow"/>
          <w14:textFill>
            <w14:solidFill>
              <w14:schemeClr w14:val="tx1"/>
            </w14:solidFill>
          </w14:textFill>
        </w:rPr>
        <w:t>人民币[        ]</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yellow"/>
          <w14:textFill>
            <w14:solidFill>
              <w14:schemeClr w14:val="tx1"/>
            </w14:solidFill>
          </w14:textFill>
        </w:rPr>
        <w:t>（小写：</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asciiTheme="minorEastAsia" w:hAnsiTheme="minorEastAsia" w:eastAsiaTheme="minorEastAsia"/>
          <w:color w:val="000000" w:themeColor="text1"/>
          <w:sz w:val="28"/>
          <w:szCs w:val="28"/>
          <w:highlight w:val="yellow"/>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3.3.</w:t>
      </w:r>
      <w:r>
        <w:rPr>
          <w:rFonts w:hint="eastAsia" w:asciiTheme="minorEastAsia" w:hAnsiTheme="minorEastAsia" w:eastAsiaTheme="minorEastAsia"/>
          <w:color w:val="000000" w:themeColor="text1"/>
          <w:sz w:val="28"/>
          <w:szCs w:val="28"/>
          <w:highlight w:val="none"/>
          <w14:textFill>
            <w14:solidFill>
              <w14:schemeClr w14:val="tx1"/>
            </w14:solidFill>
          </w14:textFill>
        </w:rPr>
        <w:t>2  乙方交付的</w:t>
      </w:r>
      <w:r>
        <w:rPr>
          <w:rFonts w:asciiTheme="minorEastAsia" w:hAnsiTheme="minorEastAsia" w:eastAsiaTheme="minorEastAsia"/>
          <w:color w:val="000000" w:themeColor="text1"/>
          <w:sz w:val="28"/>
          <w:szCs w:val="28"/>
          <w:highlight w:val="none"/>
          <w14:textFill>
            <w14:solidFill>
              <w14:schemeClr w14:val="tx1"/>
            </w14:solidFill>
          </w14:textFill>
        </w:rPr>
        <w:t>交易保证金</w:t>
      </w:r>
      <w:r>
        <w:rPr>
          <w:rFonts w:hint="eastAsia" w:asciiTheme="minorEastAsia" w:hAnsiTheme="minorEastAsia" w:eastAsiaTheme="minorEastAsia"/>
          <w:color w:val="000000" w:themeColor="text1"/>
          <w:sz w:val="28"/>
          <w:szCs w:val="28"/>
          <w:highlight w:val="none"/>
          <w14:textFill>
            <w14:solidFill>
              <w14:schemeClr w14:val="tx1"/>
            </w14:solidFill>
          </w14:textFill>
        </w:rPr>
        <w:t>（不计利息）可相应充抵乙方应向甲方支付的转让价款。</w:t>
      </w:r>
    </w:p>
    <w:p>
      <w:pPr>
        <w:snapToGrid w:val="0"/>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3  如果乙方存在违反《邀请函》、《公开竞价须知及程序》、《</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保密</w:t>
      </w:r>
      <w:r>
        <w:rPr>
          <w:rFonts w:hint="eastAsia" w:asciiTheme="minorEastAsia" w:hAnsiTheme="minorEastAsia" w:eastAsiaTheme="minorEastAsia"/>
          <w:b/>
          <w:bCs/>
          <w:color w:val="000000" w:themeColor="text1"/>
          <w:sz w:val="28"/>
          <w:szCs w:val="28"/>
          <w14:textFill>
            <w14:solidFill>
              <w14:schemeClr w14:val="tx1"/>
            </w14:solidFill>
          </w14:textFill>
        </w:rPr>
        <w:t>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6"/>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459789"/>
      <w:bookmarkStart w:id="13" w:name="_Toc67718733"/>
      <w:bookmarkStart w:id="14" w:name="_Toc58517669"/>
      <w:bookmarkStart w:id="15" w:name="_Toc36022336"/>
      <w:bookmarkStart w:id="16" w:name="_Toc67385981"/>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pPr>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bCs w:val="0"/>
          <w:snapToGrid w:val="0"/>
          <w:color w:val="000000" w:themeColor="text1"/>
          <w:kern w:val="28"/>
          <w:sz w:val="24"/>
          <w:szCs w:val="24"/>
          <w14:textFill>
            <w14:solidFill>
              <w14:schemeClr w14:val="tx1"/>
            </w14:solidFill>
          </w14:textFill>
        </w:rPr>
        <w:t xml:space="preserve"> </w:t>
      </w:r>
      <w:r>
        <w:rPr>
          <w:rFonts w:hint="eastAsia" w:ascii="宋体" w:hAnsi="宋体"/>
          <w:b w:val="0"/>
          <w:bCs/>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b w:val="0"/>
          <w:bCs/>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val="0"/>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4.3</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4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b/>
          <w:bCs/>
          <w:color w:val="000000" w:themeColor="text1"/>
          <w:sz w:val="28"/>
          <w:szCs w:val="28"/>
          <w14:textFill>
            <w14:solidFill>
              <w14:schemeClr w14:val="tx1"/>
            </w14:solidFill>
          </w14:textFill>
        </w:rPr>
        <w:t>律师费、诉讼费、评估费、拍卖费等），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val="0"/>
          <w:bCs w:val="0"/>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5"/>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5"/>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5"/>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5"/>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5"/>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pPr>
        <w:pStyle w:val="4"/>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19" w:name="_Toc215479877"/>
      <w:bookmarkEnd w:id="19"/>
      <w:bookmarkStart w:id="20" w:name="_Toc215479816"/>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5"/>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hint="eastAsia" w:ascii="Times New Roman" w:hAnsi="Times New Roman"/>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highlight w:val="yellow"/>
          <w14:textFill>
            <w14:solidFill>
              <w14:schemeClr w14:val="tx1"/>
            </w14:solidFill>
          </w14:textFill>
        </w:rPr>
        <w:t>[    ]</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w:t>
      </w:r>
      <w:r>
        <w:rPr>
          <w:rFonts w:hint="eastAsia"/>
          <w:color w:val="000000" w:themeColor="text1"/>
          <w:sz w:val="28"/>
          <w:szCs w:val="28"/>
          <w:lang w:val="en-US" w:eastAsia="zh-CN"/>
          <w14:textFill>
            <w14:solidFill>
              <w14:schemeClr w14:val="tx1"/>
            </w14:solidFill>
          </w14:textFill>
        </w:rPr>
        <w:t>债权转让</w:t>
      </w:r>
      <w:r>
        <w:rPr>
          <w:rFonts w:hint="eastAsia"/>
          <w:color w:val="000000" w:themeColor="text1"/>
          <w:sz w:val="28"/>
          <w:szCs w:val="28"/>
          <w14:textFill>
            <w14:solidFill>
              <w14:schemeClr w14:val="tx1"/>
            </w14:solidFill>
          </w14:textFill>
        </w:rPr>
        <w:t>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(债权转让与催收通知及回执见附件二)</w:t>
      </w:r>
      <w:r>
        <w:rPr>
          <w:rFonts w:hint="eastAsia" w:ascii="Times New Roman" w:hAnsi="Times New Roman" w:eastAsia="宋体" w:cs="Times New Roman"/>
          <w:color w:val="000000" w:themeColor="text1"/>
          <w:sz w:val="28"/>
          <w:szCs w:val="28"/>
          <w:lang w:eastAsia="zh-CN"/>
          <w14:textFill>
            <w14:solidFill>
              <w14:schemeClr w14:val="tx1"/>
            </w14:solidFill>
          </w14:textFill>
        </w:rPr>
        <w:t>甲方也可以采取报纸公告方式告知义务人。</w:t>
      </w:r>
    </w:p>
    <w:p>
      <w:pPr>
        <w:pStyle w:val="26"/>
        <w:widowControl w:val="0"/>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上述送达工作由</w:t>
      </w:r>
      <w:bookmarkStart w:id="34" w:name="_GoBack"/>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highlight w:val="none"/>
          <w14:textFill>
            <w14:solidFill>
              <w14:schemeClr w14:val="tx1"/>
            </w14:solidFill>
          </w14:textFill>
        </w:rPr>
        <w:t>负责、</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乙</w:t>
      </w:r>
      <w:r>
        <w:rPr>
          <w:rFonts w:hint="eastAsia" w:asciiTheme="minorEastAsia" w:hAnsiTheme="minorEastAsia" w:eastAsiaTheme="minorEastAsia"/>
          <w:color w:val="000000" w:themeColor="text1"/>
          <w:sz w:val="28"/>
          <w:szCs w:val="28"/>
          <w:highlight w:val="none"/>
          <w14:textFill>
            <w14:solidFill>
              <w14:schemeClr w14:val="tx1"/>
            </w14:solidFill>
          </w14:textFill>
        </w:rPr>
        <w:t>方予以配合</w:t>
      </w:r>
      <w:bookmarkEnd w:id="34"/>
      <w:r>
        <w:rPr>
          <w:rFonts w:hint="eastAsia" w:asciiTheme="minorEastAsia" w:hAnsiTheme="minorEastAsia" w:eastAsiaTheme="minorEastAsia"/>
          <w:color w:val="000000" w:themeColor="text1"/>
          <w:sz w:val="28"/>
          <w:szCs w:val="28"/>
          <w:highlight w:val="none"/>
          <w14:textFill>
            <w14:solidFill>
              <w14:schemeClr w14:val="tx1"/>
            </w14:solidFill>
          </w14:textFill>
        </w:rPr>
        <w:t>。</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6.1</w:t>
      </w:r>
      <w:r>
        <w:rPr>
          <w:rFonts w:asciiTheme="minorEastAsia" w:hAnsiTheme="minorEastAsia" w:eastAsiaTheme="minorEastAsia"/>
          <w:b w:val="0"/>
          <w:bCs w:val="0"/>
          <w:color w:val="000000" w:themeColor="text1"/>
          <w:sz w:val="28"/>
          <w:szCs w:val="28"/>
          <w14:textFill>
            <w14:solidFill>
              <w14:schemeClr w14:val="tx1"/>
            </w14:solidFill>
          </w14:textFill>
        </w:rPr>
        <w:t>.3</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6"/>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6"/>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6"/>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等法律文件，承继该等服务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项下的权利和义务并受到该等服务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乙方知悉并确认基准日前破产管理人分配受偿价款</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如有</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归甲方所有；</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 xml:space="preserve">；随标的债权一并转让的垫付费用等可能缺少相关票据文件等而不被法院或仲裁机构支持，致使该部分债权无法实现 </w:t>
      </w:r>
      <w:r>
        <w:rPr>
          <w:rFonts w:hint="eastAsia" w:asciiTheme="minorEastAsia" w:hAnsiTheme="minorEastAsia" w:eastAsiaTheme="minorEastAsia"/>
          <w:b/>
          <w:bCs/>
          <w:color w:val="000000" w:themeColor="text1"/>
          <w:sz w:val="28"/>
          <w:szCs w:val="28"/>
          <w14:textFill>
            <w14:solidFill>
              <w14:schemeClr w14:val="tx1"/>
            </w14:solidFill>
          </w14:textFill>
        </w:rPr>
        <w:t>；</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r>
        <w:rPr>
          <w:rFonts w:hint="eastAsia" w:asciiTheme="minorEastAsia" w:hAnsiTheme="minorEastAsia" w:eastAsiaTheme="minorEastAsia"/>
          <w:b/>
          <w:bCs/>
          <w:color w:val="000000" w:themeColor="text1"/>
          <w:sz w:val="28"/>
          <w:szCs w:val="28"/>
          <w:highlight w:val="yellow"/>
          <w14:textFill>
            <w14:solidFill>
              <w14:schemeClr w14:val="tx1"/>
            </w14:solidFill>
          </w14:textFill>
        </w:rPr>
        <w:t>【结合项目实际情况，对项目的其他重大瑕疵及风险进行单独、具体披露，包括但不限于公告中披露的瑕疵及风险。】</w:t>
      </w:r>
    </w:p>
    <w:p>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乙方作出前述商业决策前，已对标的债权的情况开展了有关法律及财务方面的尽职调查工作，乙方已向法院及破产管理人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等相关机构</w:t>
      </w:r>
      <w:r>
        <w:rPr>
          <w:rFonts w:hint="eastAsia" w:asciiTheme="minorEastAsia" w:hAnsiTheme="minorEastAsia" w:eastAsiaTheme="minorEastAsia"/>
          <w:color w:val="000000" w:themeColor="text1"/>
          <w:sz w:val="28"/>
          <w:szCs w:val="28"/>
          <w14:textFill>
            <w14:solidFill>
              <w14:schemeClr w14:val="tx1"/>
            </w14:solidFill>
          </w14:textFill>
        </w:rPr>
        <w:t>确认债权现状，乙方开展的尽职调查工作并不依赖于甲方提供的任何与标的债权有关的文件、资料、说明或协助。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51" w:firstLineChars="196"/>
        <w:jc w:val="both"/>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jc w:val="both"/>
        <w:textAlignment w:val="auto"/>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乙方承诺具备收购标的债权的受让资格，符合现行法律法规及其他相关规范性文件有关受让资格的规定，包括但不限于：</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（2）并非与参与不良债权转让的金融资产管理公司工作人员、国有企业债务人或者受托资产评估机构负责人等有直系亲属关系的人员；</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（3）并非债务企业的控股股东、实际控制人及其控股下属公司，并非担保企业及其控股下属公司，以及并非债务企业的其他关联方；</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（4）债务人、担保人为自然人的，并非其本人及其直系亲属；</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（5）并非上述主体出资成立的法人机构或特殊目的实体；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（6）并非国家金融监督管理总局认定的其他不宜受让的主体;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（7）并非依照其他法律、法规、监管规定等规范性文件规定不宜受让标的债权的主体。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乙方承诺在本协议履行完毕前，乙方及其工作人员持续符合法律、法规、监管规定等规范性文件及本协议约定关于受让方资格的限制。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(担保人）</w:t>
      </w:r>
      <w:r>
        <w:rPr>
          <w:rFonts w:hint="eastAsia" w:asciiTheme="minorEastAsia" w:hAnsiTheme="minorEastAsia" w:eastAsiaTheme="minorEastAsia"/>
          <w:b/>
          <w:bCs/>
          <w:color w:val="000000" w:themeColor="text1"/>
          <w:sz w:val="28"/>
          <w:szCs w:val="28"/>
          <w14:textFill>
            <w14:solidFill>
              <w14:schemeClr w14:val="tx1"/>
            </w14:solidFill>
          </w14:textFill>
        </w:rPr>
        <w:t>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乙方承诺，甲方在受让标的债权过程中对原债权人所作出的任何声明、承诺等事项在转让后同样对乙方、乙方后手继受方和后续任何其他资产接收方具有约束力，乙方不会因任何原因向甲方及原债权人（含原债权人上级行及分支机构）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8.2.17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9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8.2.20  乙方承诺，乙方向甲方提供的所有文件、资料、报表和凭证等是真实、准确、完整和有效的，不存在任何误导性陈述、虚假记载或重大遗漏。乙方未隐瞒任何已发生或可能发生的有可能使甲方不同意签署本协议的情况</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highlight w:val="yellow"/>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日未向甲方足额支付相应款项，甲方有权选择如下一种或几种方式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要求乙方承担违约责任</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s="Times New Roman" w:asciiTheme="minorEastAsia" w:hAnsiTheme="minorEastAsia" w:eastAsiaTheme="minorEastAsia"/>
          <w:color w:val="000000"/>
          <w:sz w:val="28"/>
          <w:szCs w:val="28"/>
          <w:highlight w:val="none"/>
          <w:lang w:eastAsia="zh-CN"/>
        </w:rPr>
        <w:t>自乙方延期支付之日起3年内，甲方有权</w:t>
      </w:r>
      <w:r>
        <w:rPr>
          <w:rFonts w:hint="eastAsia" w:asciiTheme="minorEastAsia" w:hAnsiTheme="minorEastAsia" w:eastAsiaTheme="minorEastAsia"/>
          <w:color w:val="000000" w:themeColor="text1"/>
          <w:sz w:val="28"/>
          <w:szCs w:val="28"/>
          <w14:textFill>
            <w14:solidFill>
              <w14:schemeClr w14:val="tx1"/>
            </w14:solidFill>
          </w14:textFill>
        </w:rPr>
        <w:t xml:space="preserve">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9.2.8  </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各方确认，如乙方违反付款义务，甲方有权根据乙方违约情况，单独或同时要求乙方承担本协议项下部分或全部违约责任。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9.2.9  </w:t>
      </w:r>
      <w:r>
        <w:rPr>
          <w:rFonts w:hint="eastAsia" w:asciiTheme="minorEastAsia" w:hAnsiTheme="minorEastAsia" w:eastAsiaTheme="minorEastAsia"/>
          <w:color w:val="000000" w:themeColor="text1"/>
          <w:sz w:val="28"/>
          <w:szCs w:val="28"/>
          <w14:textFill>
            <w14:solidFill>
              <w14:schemeClr w14:val="tx1"/>
            </w14:solidFill>
          </w14:textFill>
        </w:rPr>
        <w:t>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9"/>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14:textFill>
            <w14:solidFill>
              <w14:schemeClr w14:val="tx1"/>
            </w14:solidFill>
          </w14:textFill>
        </w:rPr>
        <w:t>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5日</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6"/>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hint="eastAsia" w:ascii="宋体" w:hAnsi="宋体"/>
          <w:color w:val="000000" w:themeColor="text1"/>
          <w:sz w:val="28"/>
          <w:szCs w:val="28"/>
          <w14:textFill>
            <w14:solidFill>
              <w14:schemeClr w14:val="tx1"/>
            </w14:solidFill>
          </w14:textFill>
        </w:rPr>
        <w:t>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2"/>
        <w:rPr>
          <w:rFonts w:hint="eastAsia" w:ascii="宋体" w:hAnsi="宋体"/>
          <w:color w:val="000000" w:themeColor="text1"/>
          <w:sz w:val="28"/>
          <w:szCs w:val="28"/>
          <w14:textFill>
            <w14:solidFill>
              <w14:schemeClr w14:val="tx1"/>
            </w14:solidFill>
          </w14:textFill>
        </w:rPr>
      </w:pPr>
    </w:p>
    <w:p>
      <w:pPr>
        <w:pStyle w:val="2"/>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第十二条</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b/>
          <w:bCs/>
          <w:color w:val="000000" w:themeColor="text1"/>
          <w:sz w:val="28"/>
          <w:szCs w:val="28"/>
          <w14:textFill>
            <w14:solidFill>
              <w14:schemeClr w14:val="tx1"/>
            </w14:solidFill>
          </w14:textFill>
        </w:rPr>
        <w:t>反商业贿赂条款</w:t>
      </w:r>
    </w:p>
    <w:p>
      <w:pPr>
        <w:pStyle w:val="2"/>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各方均清楚并愿意严格遵守中华人民共和国反商业贿赂相关法律法规的规定，各方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b/>
          <w:bCs/>
          <w:color w:val="000000" w:themeColor="text1"/>
          <w:sz w:val="28"/>
          <w:szCs w:val="28"/>
          <w14:textFill>
            <w14:solidFill>
              <w14:schemeClr w14:val="tx1"/>
            </w14:solidFill>
          </w14:textFill>
        </w:rPr>
        <w:t>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5"/>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.5  </w:t>
      </w:r>
      <w:r>
        <w:rPr>
          <w:rFonts w:hint="eastAsia" w:asciiTheme="minorEastAsia" w:hAnsiTheme="minorEastAsia" w:eastAsiaTheme="minorEastAsia"/>
          <w:color w:val="000000" w:themeColor="text1"/>
          <w:sz w:val="28"/>
          <w:szCs w:val="28"/>
          <w:highlight w:val="yellow"/>
          <w14:textFill>
            <w14:solidFill>
              <w14:schemeClr w14:val="tx1"/>
            </w14:solidFill>
          </w14:textFill>
        </w:rPr>
        <w:t>本协议由</w:t>
      </w:r>
      <w:commentRangeStart w:id="2"/>
      <w:commentRangeStart w:id="3"/>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yellow"/>
          <w14:textFill>
            <w14:solidFill>
              <w14:schemeClr w14:val="tx1"/>
            </w14:solidFill>
          </w14:textFill>
        </w:rPr>
        <w:t>加盖公章</w:t>
      </w:r>
      <w:commentRangeEnd w:id="2"/>
      <w:r>
        <w:commentReference w:id="2"/>
      </w:r>
      <w:commentRangeEnd w:id="3"/>
      <w:r>
        <w:commentReference w:id="3"/>
      </w:r>
      <w:r>
        <w:rPr>
          <w:rFonts w:hint="eastAsia" w:asciiTheme="minorEastAsia" w:hAnsiTheme="minorEastAsia" w:eastAsiaTheme="minorEastAsia"/>
          <w:color w:val="000000" w:themeColor="text1"/>
          <w:sz w:val="28"/>
          <w:szCs w:val="28"/>
          <w:highlight w:val="yellow"/>
          <w14:textFill>
            <w14:solidFill>
              <w14:schemeClr w14:val="tx1"/>
            </w14:solidFill>
          </w14:textFill>
        </w:rPr>
        <w:t>之日起生效。</w:t>
      </w:r>
    </w:p>
    <w:p>
      <w:pPr>
        <w:pStyle w:val="2"/>
        <w:rPr>
          <w:rFonts w:hint="eastAsia"/>
        </w:rPr>
      </w:pPr>
      <w:r>
        <w:rPr>
          <w:rFonts w:hint="eastAsia" w:asciiTheme="minorEastAsia" w:hAnsiTheme="minorEastAsia" w:eastAsiaTheme="minorEastAsia"/>
          <w:color w:val="000000" w:themeColor="text1"/>
          <w:sz w:val="28"/>
          <w:szCs w:val="28"/>
          <w:highlight w:val="yellow"/>
          <w:lang w:bidi="ar"/>
          <w14:textFill>
            <w14:solidFill>
              <w14:schemeClr w14:val="tx1"/>
            </w14:solidFill>
          </w14:textFill>
        </w:rPr>
        <w:t>【提示：若协议签署主体为自然人，协议签署时要求自然人亲笔签名，不可使用名章。】</w:t>
      </w:r>
    </w:p>
    <w:p>
      <w:pPr>
        <w:pStyle w:val="26"/>
        <w:widowControl w:val="0"/>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负担。</w:t>
      </w:r>
    </w:p>
    <w:p>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除法律规定或当事人另有约定外，因本协议订立、履行及争议解决发生的费用（包括</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承担。</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13.8  甲方在本协议项下的权利是累加的，并不影响和排除甲方根据法律和其它协议对乙方所可以享有的任何权利。除非甲方书面表示，甲方对其任何权利的不行使、部分行使和/或延迟行使，均不构成对该权利的放弃或部分放弃，也不影响、阻止和妨碍甲方对该权利的继续行使或对其任何其它权利的行使。也不因此导致甲方对乙方承担义务和责任。</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13.9  本协议项下乙方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13.10  在协商、诉讼或仲裁期间，各方应本着诚信原则继续履行本协议不涉及争议的部分。</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 xml:space="preserve">13.11  在不影响本协议其他约定的情形下，本协议对各方及各方依法产生的承继人和受让人均具有法律约束力。  </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13.12  本协议中的标题和业务名称仅为指代的方便而使用，不得用于对条款内容及当事方权利义务的解释。</w:t>
      </w:r>
    </w:p>
    <w:p>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13.13  本协议为非格式协议，不做不利于任何一方的解释。如需对本协议内容进行解释，应当按照符合本协议项下交易的目的、交易程序、交易背景的原则进行。</w:t>
      </w:r>
    </w:p>
    <w:p>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13.14  本协议各条款由各方进行了充分协商，协议各方对协议各条款的内容（包括但不限于免除、减轻或加重各方责任、限制各方权利的条款）已完全知晓和理解，各方对本协议所有条款内容的理解不存在异议。</w:t>
      </w:r>
    </w:p>
    <w:p>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13.15  本协议正本一式</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份，各方各执</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贰</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份，各正本均具同等法律效力。</w:t>
      </w: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            ]《债权转让协议》的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w:t>
      </w:r>
      <w:r>
        <w:rPr>
          <w:rFonts w:hint="eastAsia" w:asciiTheme="minorEastAsia" w:hAnsiTheme="minorEastAsia" w:eastAsiaTheme="minorEastAsia"/>
          <w:color w:val="000000" w:themeColor="text1"/>
          <w:sz w:val="28"/>
          <w:szCs w:val="28"/>
          <w:lang w:eastAsia="zh-CN"/>
          <w14:textFill>
            <w14:solidFill>
              <w14:schemeClr w14:val="tx1"/>
            </w14:solidFill>
          </w14:textFill>
        </w:rPr>
        <w:t>中信金融</w:t>
      </w:r>
      <w:r>
        <w:rPr>
          <w:rFonts w:hint="eastAsia" w:asciiTheme="minorEastAsia" w:hAnsiTheme="minorEastAsia" w:eastAsiaTheme="minorEastAsia"/>
          <w:color w:val="000000" w:themeColor="text1"/>
          <w:sz w:val="28"/>
          <w:szCs w:val="28"/>
          <w14:textFill>
            <w14:solidFill>
              <w14:schemeClr w14:val="tx1"/>
            </w14:solidFill>
          </w14:textFill>
        </w:rPr>
        <w:t>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6"/>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5" w:name="_Toc100162855"/>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bookmarkEnd w:id="25"/>
    <w:p>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标的债权清单</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4"/>
        <w:tblW w:w="9778" w:type="dxa"/>
        <w:jc w:val="center"/>
        <w:tblLayout w:type="fixed"/>
        <w:tblCellMar>
          <w:top w:w="15" w:type="dxa"/>
          <w:left w:w="15" w:type="dxa"/>
          <w:bottom w:w="15" w:type="dxa"/>
          <w:right w:w="15" w:type="dxa"/>
        </w:tblCellMar>
      </w:tblPr>
      <w:tblGrid>
        <w:gridCol w:w="729"/>
        <w:gridCol w:w="1748"/>
        <w:gridCol w:w="1522"/>
        <w:gridCol w:w="1048"/>
        <w:gridCol w:w="934"/>
        <w:gridCol w:w="1985"/>
        <w:gridCol w:w="1812"/>
      </w:tblGrid>
      <w:tr>
        <w:tblPrEx>
          <w:tblCellMar>
            <w:top w:w="15" w:type="dxa"/>
            <w:left w:w="15" w:type="dxa"/>
            <w:bottom w:w="15" w:type="dxa"/>
            <w:right w:w="15" w:type="dxa"/>
          </w:tblCellMar>
        </w:tblPrEx>
        <w:trPr>
          <w:trHeight w:val="498" w:hRule="atLeast"/>
          <w:jc w:val="center"/>
        </w:trPr>
        <w:tc>
          <w:tcPr>
            <w:tcW w:w="729" w:type="dxa"/>
            <w:tcBorders>
              <w:top w:val="single" w:color="000000" w:sz="8" w:space="0"/>
              <w:left w:val="single" w:color="000000" w:sz="8" w:space="0"/>
              <w:bottom w:val="nil"/>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Times New Roman" w:hAnsi="Times New Roman" w:eastAsia="宋体" w:cs="Times New Roman"/>
                <w:b/>
                <w:color w:val="000000"/>
                <w:kern w:val="0"/>
                <w:szCs w:val="21"/>
              </w:rPr>
              <w:t>序号</w:t>
            </w:r>
          </w:p>
        </w:tc>
        <w:tc>
          <w:tcPr>
            <w:tcW w:w="1748" w:type="dxa"/>
            <w:tcBorders>
              <w:top w:val="single" w:color="000000" w:sz="8" w:space="0"/>
              <w:left w:val="nil"/>
              <w:bottom w:val="nil"/>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eastAsia="宋体" w:cs="宋体"/>
                <w:b/>
                <w:color w:val="000000"/>
                <w:kern w:val="0"/>
                <w:szCs w:val="21"/>
              </w:rPr>
              <w:t>债务人</w:t>
            </w:r>
          </w:p>
        </w:tc>
        <w:tc>
          <w:tcPr>
            <w:tcW w:w="1522" w:type="dxa"/>
            <w:tcBorders>
              <w:top w:val="single" w:color="000000" w:sz="8" w:space="0"/>
              <w:left w:val="nil"/>
              <w:bottom w:val="nil"/>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eastAsia="宋体" w:cs="宋体"/>
                <w:b/>
                <w:color w:val="000000"/>
                <w:kern w:val="0"/>
                <w:szCs w:val="21"/>
              </w:rPr>
              <w:t>债权本金</w:t>
            </w:r>
          </w:p>
        </w:tc>
        <w:tc>
          <w:tcPr>
            <w:tcW w:w="1048" w:type="dxa"/>
            <w:tcBorders>
              <w:top w:val="single" w:color="000000" w:sz="8" w:space="0"/>
              <w:left w:val="single" w:color="auto" w:sz="4" w:space="0"/>
              <w:bottom w:val="nil"/>
              <w:right w:val="single" w:color="auto" w:sz="4" w:space="0"/>
            </w:tcBorders>
            <w:vAlign w:val="top"/>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利息</w:t>
            </w:r>
          </w:p>
        </w:tc>
        <w:tc>
          <w:tcPr>
            <w:tcW w:w="934" w:type="dxa"/>
            <w:tcBorders>
              <w:top w:val="single" w:color="000000" w:sz="8" w:space="0"/>
              <w:left w:val="single" w:color="auto" w:sz="4" w:space="0"/>
              <w:bottom w:val="nil"/>
              <w:right w:val="single" w:color="auto" w:sz="4" w:space="0"/>
            </w:tcBorders>
            <w:vAlign w:val="top"/>
          </w:tcPr>
          <w:p>
            <w:pPr>
              <w:keepNext w:val="0"/>
              <w:keepLines w:val="0"/>
              <w:widowControl/>
              <w:suppressLineNumbers w:val="0"/>
              <w:spacing w:before="0" w:beforeAutospacing="0" w:after="0" w:afterAutospacing="0" w:line="360" w:lineRule="auto"/>
              <w:ind w:left="0" w:right="0" w:firstLine="0" w:firstLineChars="0"/>
              <w:textAlignment w:val="center"/>
              <w:rPr>
                <w:rFonts w:hint="eastAsia" w:ascii="宋体" w:hAnsi="宋体" w:eastAsia="宋体" w:cs="宋体"/>
                <w:b/>
                <w:color w:val="000000"/>
                <w:kern w:val="0"/>
                <w:szCs w:val="21"/>
                <w:lang w:eastAsia="zh-CN"/>
              </w:rPr>
            </w:pPr>
            <w:commentRangeStart w:id="4"/>
            <w:r>
              <w:rPr>
                <w:rFonts w:hint="eastAsia" w:ascii="宋体" w:hAnsi="宋体" w:eastAsia="宋体" w:cs="宋体"/>
                <w:b/>
                <w:color w:val="000000"/>
                <w:kern w:val="0"/>
                <w:szCs w:val="21"/>
                <w:lang w:eastAsia="zh-CN"/>
              </w:rPr>
              <w:t>其他债权</w:t>
            </w:r>
            <w:commentRangeEnd w:id="4"/>
            <w:r>
              <w:rPr>
                <w:rFonts w:hint="eastAsia"/>
                <w:szCs w:val="20"/>
              </w:rPr>
              <w:commentReference w:id="4"/>
            </w:r>
          </w:p>
        </w:tc>
        <w:tc>
          <w:tcPr>
            <w:tcW w:w="1985" w:type="dxa"/>
            <w:tcBorders>
              <w:top w:val="single" w:color="000000" w:sz="8" w:space="0"/>
              <w:left w:val="single" w:color="auto" w:sz="4" w:space="0"/>
              <w:bottom w:val="nil"/>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担保人</w:t>
            </w:r>
          </w:p>
        </w:tc>
        <w:tc>
          <w:tcPr>
            <w:tcW w:w="1812" w:type="dxa"/>
            <w:tcBorders>
              <w:top w:val="single" w:color="000000" w:sz="8" w:space="0"/>
              <w:left w:val="nil"/>
              <w:bottom w:val="nil"/>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
                <w:kern w:val="0"/>
                <w:szCs w:val="21"/>
              </w:rPr>
            </w:pPr>
            <w:r>
              <w:rPr>
                <w:rFonts w:hint="eastAsia" w:ascii="宋体" w:hAnsi="宋体" w:cs="宋体"/>
                <w:b/>
                <w:color w:val="000000"/>
                <w:kern w:val="0"/>
                <w:szCs w:val="21"/>
                <w:lang w:eastAsia="zh-CN"/>
              </w:rPr>
              <w:t>担保</w:t>
            </w:r>
            <w:r>
              <w:rPr>
                <w:rFonts w:hint="eastAsia" w:ascii="宋体" w:hAnsi="宋体" w:eastAsia="宋体" w:cs="宋体"/>
                <w:b/>
                <w:color w:val="000000"/>
                <w:kern w:val="0"/>
                <w:szCs w:val="21"/>
              </w:rPr>
              <w:t>物</w:t>
            </w:r>
          </w:p>
        </w:tc>
      </w:tr>
      <w:tr>
        <w:tblPrEx>
          <w:tblCellMar>
            <w:top w:w="15" w:type="dxa"/>
            <w:left w:w="15" w:type="dxa"/>
            <w:bottom w:w="15" w:type="dxa"/>
            <w:right w:w="15" w:type="dxa"/>
          </w:tblCellMar>
        </w:tblPrEx>
        <w:trPr>
          <w:trHeight w:val="554" w:hRule="atLeast"/>
          <w:jc w:val="center"/>
        </w:trPr>
        <w:tc>
          <w:tcPr>
            <w:tcW w:w="729" w:type="dxa"/>
            <w:tcBorders>
              <w:top w:val="single" w:color="000000" w:sz="4" w:space="0"/>
              <w:left w:val="single" w:color="000000" w:sz="8" w:space="0"/>
              <w:bottom w:val="single" w:color="000000" w:sz="4"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1</w:t>
            </w:r>
          </w:p>
        </w:tc>
        <w:tc>
          <w:tcPr>
            <w:tcW w:w="1748" w:type="dxa"/>
            <w:tcBorders>
              <w:top w:val="single" w:color="000000" w:sz="4" w:space="0"/>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522" w:type="dxa"/>
            <w:tcBorders>
              <w:top w:val="single" w:color="000000" w:sz="4" w:space="0"/>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048" w:type="dxa"/>
            <w:tcBorders>
              <w:top w:val="single" w:color="000000" w:sz="4" w:space="0"/>
              <w:left w:val="single" w:color="auto" w:sz="4" w:space="0"/>
              <w:bottom w:val="single" w:color="000000" w:sz="4" w:space="0"/>
              <w:right w:val="single" w:color="auto" w:sz="4" w:space="0"/>
            </w:tcBorders>
            <w:vAlign w:val="top"/>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934" w:type="dxa"/>
            <w:tcBorders>
              <w:top w:val="single" w:color="000000" w:sz="4" w:space="0"/>
              <w:left w:val="single" w:color="auto" w:sz="4" w:space="0"/>
              <w:bottom w:val="single" w:color="000000" w:sz="4" w:space="0"/>
              <w:right w:val="single" w:color="auto" w:sz="4" w:space="0"/>
            </w:tcBorders>
            <w:vAlign w:val="top"/>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985" w:type="dxa"/>
            <w:tcBorders>
              <w:top w:val="single" w:color="000000" w:sz="4" w:space="0"/>
              <w:left w:val="single" w:color="auto" w:sz="4" w:space="0"/>
              <w:bottom w:val="single" w:color="000000" w:sz="4"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 xml:space="preserve"> </w:t>
            </w:r>
          </w:p>
        </w:tc>
        <w:tc>
          <w:tcPr>
            <w:tcW w:w="1812" w:type="dxa"/>
            <w:tcBorders>
              <w:top w:val="single" w:color="000000" w:sz="4" w:space="0"/>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r>
      <w:tr>
        <w:tblPrEx>
          <w:tblCellMar>
            <w:top w:w="15" w:type="dxa"/>
            <w:left w:w="15" w:type="dxa"/>
            <w:bottom w:w="15" w:type="dxa"/>
            <w:right w:w="15" w:type="dxa"/>
          </w:tblCellMar>
        </w:tblPrEx>
        <w:trPr>
          <w:trHeight w:val="554" w:hRule="atLeast"/>
          <w:jc w:val="center"/>
        </w:trPr>
        <w:tc>
          <w:tcPr>
            <w:tcW w:w="729" w:type="dxa"/>
            <w:tcBorders>
              <w:top w:val="single" w:color="000000" w:sz="4"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2</w:t>
            </w:r>
          </w:p>
        </w:tc>
        <w:tc>
          <w:tcPr>
            <w:tcW w:w="1748" w:type="dxa"/>
            <w:tcBorders>
              <w:top w:val="single" w:color="000000" w:sz="4"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522" w:type="dxa"/>
            <w:tcBorders>
              <w:top w:val="single" w:color="000000" w:sz="4"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048" w:type="dxa"/>
            <w:tcBorders>
              <w:top w:val="single" w:color="000000" w:sz="4" w:space="0"/>
              <w:left w:val="single" w:color="auto" w:sz="4" w:space="0"/>
              <w:bottom w:val="single" w:color="000000" w:sz="8" w:space="0"/>
              <w:right w:val="single" w:color="auto" w:sz="4" w:space="0"/>
            </w:tcBorders>
            <w:vAlign w:val="top"/>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934" w:type="dxa"/>
            <w:tcBorders>
              <w:top w:val="single" w:color="000000" w:sz="4" w:space="0"/>
              <w:left w:val="single" w:color="auto" w:sz="4" w:space="0"/>
              <w:bottom w:val="single" w:color="000000" w:sz="8" w:space="0"/>
              <w:right w:val="single" w:color="auto" w:sz="4" w:space="0"/>
            </w:tcBorders>
            <w:vAlign w:val="top"/>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c>
          <w:tcPr>
            <w:tcW w:w="1985" w:type="dxa"/>
            <w:tcBorders>
              <w:top w:val="single" w:color="000000" w:sz="4" w:space="0"/>
              <w:left w:val="single" w:color="auto" w:sz="4"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 xml:space="preserve"> </w:t>
            </w:r>
          </w:p>
        </w:tc>
        <w:tc>
          <w:tcPr>
            <w:tcW w:w="1812" w:type="dxa"/>
            <w:tcBorders>
              <w:top w:val="single" w:color="000000" w:sz="4"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bCs/>
                <w:kern w:val="0"/>
                <w:szCs w:val="21"/>
              </w:rPr>
            </w:pPr>
          </w:p>
        </w:tc>
      </w:tr>
    </w:tbl>
    <w:p>
      <w:pPr>
        <w:pStyle w:val="26"/>
        <w:tabs>
          <w:tab w:val="left" w:pos="4680"/>
        </w:tabs>
        <w:spacing w:line="400" w:lineRule="exact"/>
        <w:rPr>
          <w:rFonts w:ascii="宋体" w:hAnsi="宋体"/>
          <w:bCs/>
          <w:color w:val="000000" w:themeColor="text1"/>
          <w:szCs w:val="24"/>
          <w14:textFill>
            <w14:solidFill>
              <w14:schemeClr w14:val="tx1"/>
            </w14:solidFill>
          </w14:textFill>
        </w:rPr>
      </w:pPr>
    </w:p>
    <w:p>
      <w:pPr>
        <w:widowControl/>
        <w:spacing w:line="360" w:lineRule="auto"/>
        <w:ind w:firstLine="480" w:firstLineChars="200"/>
        <w:jc w:val="left"/>
        <w:rPr>
          <w:rFonts w:ascii="宋体" w:hAnsi="宋体" w:cs="宋体"/>
          <w:kern w:val="0"/>
          <w:sz w:val="24"/>
          <w:szCs w:val="24"/>
        </w:rPr>
      </w:pPr>
      <w:r>
        <w:rPr>
          <w:rFonts w:hint="eastAsia" w:ascii="宋体" w:hAnsi="宋体"/>
          <w:bCs/>
          <w:color w:val="000000" w:themeColor="text1"/>
          <w:sz w:val="24"/>
          <w:szCs w:val="24"/>
          <w14:textFill>
            <w14:solidFill>
              <w14:schemeClr w14:val="tx1"/>
            </w14:solidFill>
          </w14:textFill>
        </w:rPr>
        <w:t>注</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本清单列示截至基准日的债权本金、利息余额</w:t>
      </w:r>
      <w:commentRangeStart w:id="5"/>
      <w:r>
        <w:rPr>
          <w:rFonts w:hint="eastAsia" w:ascii="宋体" w:hAnsi="宋体" w:cs="宋体"/>
          <w:kern w:val="0"/>
          <w:sz w:val="24"/>
          <w:szCs w:val="24"/>
          <w:lang w:val="en-US" w:eastAsia="zh-CN"/>
        </w:rPr>
        <w:t>及其他债权</w:t>
      </w:r>
      <w:commentRangeEnd w:id="5"/>
      <w:r>
        <w:commentReference w:id="5"/>
      </w:r>
      <w:r>
        <w:rPr>
          <w:rFonts w:hint="eastAsia" w:ascii="宋体" w:hAnsi="宋体" w:cs="宋体"/>
          <w:kern w:val="0"/>
          <w:sz w:val="24"/>
          <w:szCs w:val="24"/>
        </w:rPr>
        <w:t>，基准日后债务人和担保人应支付的利息、违约金、相关费用等按照相关合同协议、生效法律文书及法律法规的规定计算。上述债权及其项下权利义务一并转让。</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若债务人、担保人因各种原因更名、改制、歇业、吊销营业执照或丧失民事主体资格的，请相关承债主体及/或主管部门代为履行义务或履行清算责任。</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清单中的“担保人”包括保证人、抵押人、出质人。</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如清单中债务人、债权金额、担保人等信息与事实不符的，以相关合同、生效法律文书等为准。</w:t>
      </w:r>
    </w:p>
    <w:p>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6" w:name="_Toc340744028"/>
      <w:bookmarkStart w:id="27" w:name="_Toc232937585"/>
      <w:bookmarkStart w:id="28" w:name="_Toc420939166"/>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val="en-US"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6"/>
      <w:bookmarkEnd w:id="27"/>
      <w:bookmarkEnd w:id="28"/>
    </w:p>
    <w:p>
      <w:pPr>
        <w:pStyle w:val="32"/>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2"/>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4"/>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w:t>
            </w:r>
            <w:r>
              <w:rPr>
                <w:rFonts w:hint="eastAsia" w:asciiTheme="minorEastAsia" w:hAnsiTheme="minorEastAsia" w:eastAsiaTheme="minorEastAsia"/>
                <w:color w:val="000000" w:themeColor="text1"/>
                <w:sz w:val="24"/>
                <w:szCs w:val="20"/>
                <w:lang w:eastAsia="zh-CN"/>
                <w14:textFill>
                  <w14:solidFill>
                    <w14:schemeClr w14:val="tx1"/>
                  </w14:solidFill>
                </w14:textFill>
              </w:rPr>
              <w:t>中信金融</w:t>
            </w:r>
            <w:r>
              <w:rPr>
                <w:rFonts w:hint="eastAsia" w:asciiTheme="minorEastAsia" w:hAnsiTheme="minorEastAsia" w:eastAsiaTheme="minorEastAsia"/>
                <w:color w:val="000000" w:themeColor="text1"/>
                <w:sz w:val="24"/>
                <w:szCs w:val="20"/>
                <w14:textFill>
                  <w14:solidFill>
                    <w14:schemeClr w14:val="tx1"/>
                  </w14:solidFill>
                </w14:textFill>
              </w:rPr>
              <w:t>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2"/>
        <w:spacing w:after="240" w:line="400" w:lineRule="exact"/>
        <w:jc w:val="right"/>
        <w:rPr>
          <w:rFonts w:asciiTheme="minorEastAsia" w:hAnsiTheme="minorEastAsia" w:eastAsiaTheme="minorEastAsia"/>
          <w:b/>
          <w:color w:val="000000" w:themeColor="text1"/>
          <w14:textFill>
            <w14:solidFill>
              <w14:schemeClr w14:val="tx1"/>
            </w14:solidFill>
          </w14:textFill>
        </w:rPr>
      </w:pPr>
      <w:bookmarkStart w:id="29" w:name="_Toc340744029"/>
      <w:bookmarkStart w:id="30"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29"/>
      <w:bookmarkEnd w:id="30"/>
    </w:p>
    <w:p>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26"/>
        <w:widowControl w:val="0"/>
        <w:tabs>
          <w:tab w:val="left" w:pos="4680"/>
        </w:tabs>
        <w:spacing w:line="560" w:lineRule="exact"/>
        <w:outlineLvl w:val="0"/>
        <w:rPr>
          <w:rFonts w:hint="eastAsia" w:ascii="宋体" w:hAnsi="宋体"/>
          <w:b/>
          <w:color w:val="000000" w:themeColor="text1"/>
          <w:sz w:val="28"/>
          <w:szCs w:val="28"/>
          <w14:textFill>
            <w14:solidFill>
              <w14:schemeClr w14:val="tx1"/>
            </w14:solidFill>
          </w14:textFill>
        </w:rPr>
      </w:pPr>
      <w:bookmarkStart w:id="31" w:name="_Toc340744030"/>
      <w:bookmarkStart w:id="32" w:name="_Toc420939167"/>
      <w:bookmarkStart w:id="33" w:name="_Toc232937586"/>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分户债权</w:t>
      </w:r>
      <w:r>
        <w:rPr>
          <w:rFonts w:ascii="宋体" w:hAnsi="宋体"/>
          <w:b/>
          <w:color w:val="000000" w:themeColor="text1"/>
          <w:sz w:val="28"/>
          <w:szCs w:val="28"/>
          <w14:textFill>
            <w14:solidFill>
              <w14:schemeClr w14:val="tx1"/>
            </w14:solidFill>
          </w14:textFill>
        </w:rPr>
        <w:t>转让协议（样本）</w:t>
      </w:r>
      <w:bookmarkEnd w:id="31"/>
      <w:bookmarkEnd w:id="32"/>
      <w:bookmarkEnd w:id="33"/>
      <w:r>
        <w:rPr>
          <w:rFonts w:hint="eastAsia" w:asciiTheme="minorEastAsia" w:hAnsiTheme="minorEastAsia" w:eastAsiaTheme="minorEastAsia"/>
          <w:color w:val="000000" w:themeColor="text1"/>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lang w:val="en-US" w:eastAsia="zh-CN"/>
          <w14:textFill>
            <w14:solidFill>
              <w14:schemeClr w14:val="tx1"/>
            </w14:solidFill>
          </w14:textFill>
        </w:rPr>
        <w:t>根据实际情况</w:t>
      </w:r>
      <w:r>
        <w:rPr>
          <w:rFonts w:hint="eastAsia" w:asciiTheme="minorEastAsia" w:hAnsiTheme="minorEastAsia" w:eastAsiaTheme="minorEastAsia"/>
          <w:color w:val="000000" w:themeColor="text1"/>
          <w:sz w:val="28"/>
          <w:szCs w:val="28"/>
          <w:highlight w:val="yellow"/>
          <w14:textFill>
            <w14:solidFill>
              <w14:schemeClr w14:val="tx1"/>
            </w14:solidFill>
          </w14:textFill>
        </w:rPr>
        <w:t>选择是否适用】</w:t>
      </w:r>
    </w:p>
    <w:p>
      <w:pPr>
        <w:spacing w:line="400" w:lineRule="exact"/>
        <w:ind w:right="960"/>
        <w:jc w:val="center"/>
        <w:outlineLvl w:val="0"/>
        <w:rPr>
          <w:rFonts w:ascii="宋体" w:hAnsi="宋体"/>
          <w:b/>
          <w:color w:val="000000" w:themeColor="text1"/>
          <w:sz w:val="36"/>
          <w:szCs w:val="36"/>
          <w14:textFill>
            <w14:solidFill>
              <w14:schemeClr w14:val="tx1"/>
            </w14:solidFill>
          </w14:textFill>
        </w:rPr>
      </w:pPr>
    </w:p>
    <w:p>
      <w:pPr>
        <w:spacing w:line="400" w:lineRule="exact"/>
        <w:ind w:right="960"/>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债权转让协议</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r>
        <w:rPr>
          <w:rFonts w:hAnsi="华文楷体" w:eastAsia="华文楷体"/>
          <w:color w:val="000000" w:themeColor="text1"/>
          <w14:textFill>
            <w14:solidFill>
              <w14:schemeClr w14:val="tx1"/>
            </w14:solidFill>
          </w14:textFill>
        </w:rPr>
        <w:t>编号：</w:t>
      </w:r>
      <w:r>
        <w:rPr>
          <w:rFonts w:eastAsia="华文楷体"/>
          <w:color w:val="000000" w:themeColor="text1"/>
          <w14:textFill>
            <w14:solidFill>
              <w14:schemeClr w14:val="tx1"/>
            </w14:solidFill>
          </w14:textFill>
        </w:rPr>
        <w:t>____________________</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p>
    <w:p>
      <w:pPr>
        <w:spacing w:line="40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w:t>
      </w:r>
      <w:r>
        <w:rPr>
          <w:rFonts w:hint="eastAsia" w:ascii="宋体" w:hAnsi="宋体"/>
          <w:color w:val="000000" w:themeColor="text1"/>
          <w:sz w:val="28"/>
          <w:szCs w:val="28"/>
          <w14:textFill>
            <w14:solidFill>
              <w14:schemeClr w14:val="tx1"/>
            </w14:solidFill>
          </w14:textFill>
        </w:rPr>
        <w:t>中国中信金融资产管理股份有限公司[         ]分公司</w:t>
      </w:r>
    </w:p>
    <w:p>
      <w:pPr>
        <w:spacing w:line="400" w:lineRule="exact"/>
        <w:rPr>
          <w:rFonts w:hint="eastAsia"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受让方：</w:t>
      </w:r>
      <w:r>
        <w:rPr>
          <w:rFonts w:hint="eastAsia" w:ascii="宋体" w:hAnsi="宋体"/>
          <w:bCs/>
          <w:color w:val="000000" w:themeColor="text1"/>
          <w:sz w:val="28"/>
          <w:szCs w:val="28"/>
          <w14:textFill>
            <w14:solidFill>
              <w14:schemeClr w14:val="tx1"/>
            </w14:solidFill>
          </w14:textFill>
        </w:rPr>
        <w:t>[                    ]</w:t>
      </w:r>
    </w:p>
    <w:p>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pPr>
        <w:pStyle w:val="26"/>
        <w:spacing w:line="560" w:lineRule="exact"/>
        <w:rPr>
          <w:rFonts w:hint="eastAsia" w:ascii="宋体" w:hAnsi="宋体"/>
          <w:b/>
          <w:color w:val="000000" w:themeColor="text1"/>
          <w:sz w:val="28"/>
          <w:szCs w:val="28"/>
          <w14:textFill>
            <w14:solidFill>
              <w14:schemeClr w14:val="tx1"/>
            </w14:solidFill>
          </w14:textFill>
        </w:rPr>
      </w:pPr>
    </w:p>
    <w:p>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鉴于：</w:t>
      </w:r>
    </w:p>
    <w:p>
      <w:pPr>
        <w:tabs>
          <w:tab w:val="left" w:pos="0"/>
          <w:tab w:val="left" w:pos="2100"/>
        </w:tabs>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1、[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日，转让方与受让方签署</w:t>
      </w:r>
      <w:r>
        <w:rPr>
          <w:rFonts w:hint="eastAsia" w:ascii="宋体" w:hAnsi="宋体"/>
          <w:color w:val="000000" w:themeColor="text1"/>
          <w:sz w:val="28"/>
          <w:szCs w:val="28"/>
          <w14:textFill>
            <w14:solidFill>
              <w14:schemeClr w14:val="tx1"/>
            </w14:solidFill>
          </w14:textFill>
        </w:rPr>
        <w:t>编号为[            ]</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（以下简称“《</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，转让方将《债权转让协议》附件列明的债权包内的全部债权转让给受让方；</w:t>
      </w:r>
    </w:p>
    <w:p>
      <w:pPr>
        <w:tabs>
          <w:tab w:val="left" w:pos="2100"/>
        </w:tabs>
        <w:spacing w:line="560" w:lineRule="exact"/>
        <w:rPr>
          <w:rFonts w:hint="eastAsia" w:ascii="宋体" w:hAnsi="宋体"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2、</w:t>
      </w:r>
      <w:r>
        <w:rPr>
          <w:rFonts w:ascii="宋体" w:hAnsi="宋体"/>
          <w:color w:val="000000" w:themeColor="text1"/>
          <w:sz w:val="28"/>
          <w:szCs w:val="28"/>
          <w14:textFill>
            <w14:solidFill>
              <w14:schemeClr w14:val="tx1"/>
            </w14:solidFill>
          </w14:textFill>
        </w:rPr>
        <w:t>为有利于《债权转让协议》的执行，转让方与受让方同意按照《债权转让协议》的约定由转让方与受让方签订分户债权转让协议。</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700" w:firstLineChars="25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为此，</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经友好协商，就转让方向受让方转让债权事宜，达成以下协议：</w:t>
      </w:r>
    </w:p>
    <w:p>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转让方向受让方转让下表所示的</w:t>
      </w:r>
      <w:r>
        <w:rPr>
          <w:rFonts w:hint="eastAsia" w:ascii="宋体" w:hAnsi="宋体"/>
          <w:color w:val="000000" w:themeColor="text1"/>
          <w:sz w:val="28"/>
          <w:szCs w:val="28"/>
          <w14:textFill>
            <w14:solidFill>
              <w14:schemeClr w14:val="tx1"/>
            </w14:solidFill>
          </w14:textFill>
        </w:rPr>
        <w:t>债权</w:t>
      </w:r>
      <w:r>
        <w:rPr>
          <w:rFonts w:ascii="宋体" w:hAnsi="宋体"/>
          <w:color w:val="000000" w:themeColor="text1"/>
          <w:sz w:val="28"/>
          <w:szCs w:val="28"/>
          <w14:textFill>
            <w14:solidFill>
              <w14:schemeClr w14:val="tx1"/>
            </w14:solidFill>
          </w14:textFill>
        </w:rPr>
        <w:t xml:space="preserve">（“转让标的”）：             </w:t>
      </w:r>
    </w:p>
    <w:p>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借款人名称：</w:t>
      </w:r>
      <w:r>
        <w:rPr>
          <w:rFonts w:hint="eastAsia" w:ascii="宋体" w:hAnsi="宋体"/>
          <w:bCs/>
          <w:color w:val="000000" w:themeColor="text1"/>
          <w:sz w:val="28"/>
          <w:szCs w:val="28"/>
          <w14:textFill>
            <w14:solidFill>
              <w14:schemeClr w14:val="tx1"/>
            </w14:solidFill>
          </w14:textFill>
        </w:rPr>
        <w:t>[                    ]</w:t>
      </w:r>
    </w:p>
    <w:tbl>
      <w:tblPr>
        <w:tblStyle w:val="14"/>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023"/>
        <w:gridCol w:w="13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7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借款人编号</w:t>
            </w:r>
          </w:p>
        </w:tc>
        <w:tc>
          <w:tcPr>
            <w:tcW w:w="198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借款协议编号（或协议签订时间及协议金额）</w:t>
            </w:r>
          </w:p>
        </w:tc>
        <w:tc>
          <w:tcPr>
            <w:tcW w:w="129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担保人名称</w:t>
            </w:r>
          </w:p>
        </w:tc>
        <w:tc>
          <w:tcPr>
            <w:tcW w:w="1770" w:type="dxa"/>
            <w:vAlign w:val="center"/>
          </w:tcPr>
          <w:p>
            <w:pPr>
              <w:keepNext w:val="0"/>
              <w:keepLines w:val="0"/>
              <w:suppressLineNumbers w:val="0"/>
              <w:spacing w:before="0" w:beforeAutospacing="0" w:after="0" w:afterAutospacing="0" w:line="560" w:lineRule="exact"/>
              <w:ind w:left="-78" w:leftChars="-37"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担保协议编号（或协议签订时间）</w:t>
            </w:r>
          </w:p>
        </w:tc>
        <w:tc>
          <w:tcPr>
            <w:tcW w:w="1023"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原贷款行</w:t>
            </w:r>
          </w:p>
        </w:tc>
        <w:tc>
          <w:tcPr>
            <w:tcW w:w="13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债权截至基准日本金余额（人民币元）</w:t>
            </w:r>
          </w:p>
        </w:tc>
        <w:tc>
          <w:tcPr>
            <w:tcW w:w="1280" w:type="dxa"/>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债权截至基准日欠息金额（人民币元）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bl>
    <w:p>
      <w:pPr>
        <w:numPr>
          <w:ilvl w:val="255"/>
          <w:numId w:val="0"/>
        </w:numPr>
        <w:tabs>
          <w:tab w:val="left" w:pos="1260"/>
          <w:tab w:val="left" w:pos="1620"/>
        </w:tabs>
        <w:topLinePunct/>
        <w:spacing w:line="560" w:lineRule="exact"/>
        <w:rPr>
          <w:rFonts w:hint="eastAsia" w:ascii="宋体" w:hAnsi="宋体" w:eastAsiaTheme="minorEastAsia"/>
          <w:color w:val="000000" w:themeColor="text1"/>
          <w:sz w:val="28"/>
          <w:szCs w:val="28"/>
          <w14:textFill>
            <w14:solidFill>
              <w14:schemeClr w14:val="tx1"/>
            </w14:solidFill>
          </w14:textFill>
        </w:rPr>
      </w:pPr>
    </w:p>
    <w:p>
      <w:pPr>
        <w:numPr>
          <w:ilvl w:val="1"/>
          <w:numId w:val="2"/>
        </w:numPr>
        <w:tabs>
          <w:tab w:val="left" w:pos="1260"/>
          <w:tab w:val="left" w:pos="1620"/>
        </w:tabs>
        <w:topLinePunct/>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根据《债权转让协议》的约定，</w:t>
      </w:r>
      <w:r>
        <w:rPr>
          <w:rFonts w:hint="eastAsia" w:ascii="宋体" w:hAnsi="宋体"/>
          <w:color w:val="000000" w:themeColor="text1"/>
          <w:sz w:val="28"/>
          <w:szCs w:val="28"/>
          <w14:textFill>
            <w14:solidFill>
              <w14:schemeClr w14:val="tx1"/>
            </w14:solidFill>
          </w14:textFill>
        </w:rPr>
        <w:t>在[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（债权转让日）</w:t>
      </w:r>
      <w:r>
        <w:rPr>
          <w:rFonts w:ascii="宋体" w:hAnsi="宋体"/>
          <w:color w:val="000000" w:themeColor="text1"/>
          <w:sz w:val="28"/>
          <w:szCs w:val="28"/>
          <w14:textFill>
            <w14:solidFill>
              <w14:schemeClr w14:val="tx1"/>
            </w14:solidFill>
          </w14:textFill>
        </w:rPr>
        <w:t>，自</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（债权基准日）起</w:t>
      </w:r>
      <w:r>
        <w:rPr>
          <w:rFonts w:ascii="宋体" w:hAnsi="宋体"/>
          <w:color w:val="000000" w:themeColor="text1"/>
          <w:sz w:val="28"/>
          <w:szCs w:val="28"/>
          <w14:textFill>
            <w14:solidFill>
              <w14:schemeClr w14:val="tx1"/>
            </w14:solidFill>
          </w14:textFill>
        </w:rPr>
        <w:t>与转让标的</w:t>
      </w:r>
      <w:r>
        <w:rPr>
          <w:rFonts w:hint="eastAsia" w:asciiTheme="minorEastAsia" w:hAnsiTheme="minorEastAsia" w:eastAsiaTheme="minorEastAsia"/>
          <w:color w:val="000000" w:themeColor="text1"/>
          <w:kern w:val="0"/>
          <w:sz w:val="28"/>
          <w:szCs w:val="28"/>
          <w14:textFill>
            <w14:solidFill>
              <w14:schemeClr w14:val="tx1"/>
            </w14:solidFill>
          </w14:textFill>
        </w:rPr>
        <w:t>有关的全部权利自</w:t>
      </w:r>
      <w:r>
        <w:rPr>
          <w:rFonts w:hint="eastAsia" w:asciiTheme="minorEastAsia" w:hAnsiTheme="minorEastAsia"/>
          <w:color w:val="000000" w:themeColor="text1"/>
          <w:kern w:val="0"/>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转移至</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color w:val="000000" w:themeColor="text1"/>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w:t>
      </w:r>
      <w:r>
        <w:rPr>
          <w:rFonts w:hint="eastAsia" w:ascii="宋体" w:hAnsi="宋体"/>
          <w:color w:val="000000" w:themeColor="text1"/>
          <w:sz w:val="28"/>
          <w:szCs w:val="28"/>
          <w14:textFill>
            <w14:solidFill>
              <w14:schemeClr w14:val="tx1"/>
            </w14:solidFill>
          </w14:textFill>
        </w:rPr>
        <w:t>为</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组成部分，本协议</w:t>
      </w:r>
      <w:r>
        <w:rPr>
          <w:rFonts w:ascii="宋体" w:hAnsi="宋体"/>
          <w:color w:val="000000" w:themeColor="text1"/>
          <w:sz w:val="28"/>
          <w:szCs w:val="28"/>
          <w14:textFill>
            <w14:solidFill>
              <w14:schemeClr w14:val="tx1"/>
            </w14:solidFill>
          </w14:textFill>
        </w:rPr>
        <w:t>未约定的事项，按《债权转让协议》的规定执行。</w:t>
      </w:r>
    </w:p>
    <w:p>
      <w:pPr>
        <w:numPr>
          <w:ilvl w:val="1"/>
          <w:numId w:val="2"/>
        </w:numPr>
        <w:spacing w:line="560" w:lineRule="exact"/>
        <w:ind w:left="1680" w:hanging="168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本协议自</w:t>
      </w:r>
      <w:r>
        <w:rPr>
          <w:rFonts w:hint="eastAsia" w:ascii="宋体" w:hAnsi="宋体"/>
          <w:color w:val="000000" w:themeColor="text1"/>
          <w:sz w:val="28"/>
          <w:szCs w:val="28"/>
          <w14:textFill>
            <w14:solidFill>
              <w14:schemeClr w14:val="tx1"/>
            </w14:solidFill>
          </w14:textFill>
        </w:rPr>
        <w:t>各方有权签字人签名或盖章并加盖公章后生效。</w:t>
      </w:r>
    </w:p>
    <w:p>
      <w:pPr>
        <w:numPr>
          <w:ilvl w:val="1"/>
          <w:numId w:val="2"/>
        </w:numPr>
        <w:tabs>
          <w:tab w:val="left" w:pos="1260"/>
        </w:tabs>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本协议一式</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各执</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份，每份协议具有同等法律效力。</w:t>
      </w:r>
    </w:p>
    <w:p>
      <w:pPr>
        <w:spacing w:line="400" w:lineRule="exact"/>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（以下无正文）</w:t>
      </w:r>
    </w:p>
    <w:p>
      <w:pPr>
        <w:spacing w:line="400" w:lineRule="exact"/>
        <w:rPr>
          <w:rFonts w:hint="eastAsia" w:ascii="宋体" w:hAnsi="宋体"/>
          <w:color w:val="000000" w:themeColor="text1"/>
          <w:sz w:val="28"/>
          <w:szCs w:val="28"/>
          <w14:textFill>
            <w14:solidFill>
              <w14:schemeClr w14:val="tx1"/>
            </w14:solidFill>
          </w14:textFill>
        </w:rPr>
      </w:pPr>
    </w:p>
    <w:p>
      <w:pPr>
        <w:pStyle w:val="26"/>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转让方：中国中信金融资产管理股份有限公司[        ]分公司</w:t>
      </w:r>
    </w:p>
    <w:p>
      <w:pPr>
        <w:pStyle w:val="26"/>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6"/>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受让方：</w:t>
      </w:r>
      <w:r>
        <w:rPr>
          <w:rFonts w:hint="eastAsia" w:ascii="宋体" w:hAnsi="宋体"/>
          <w:b/>
          <w:bCs/>
          <w:color w:val="000000" w:themeColor="text1"/>
          <w:sz w:val="28"/>
          <w:szCs w:val="28"/>
          <w14:textFill>
            <w14:solidFill>
              <w14:schemeClr w14:val="tx1"/>
            </w14:solidFill>
          </w14:textFill>
        </w:rPr>
        <w:t>[                  ]</w:t>
      </w:r>
    </w:p>
    <w:p>
      <w:pPr>
        <w:pStyle w:val="26"/>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2"/>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冯兴兴" w:date="2024-12-31T17:47:49Z" w:initials="冯">
    <w:p w14:paraId="7E070456">
      <w:pPr>
        <w:pStyle w:val="5"/>
        <w:rPr>
          <w:rFonts w:hint="default" w:eastAsia="宋体"/>
          <w:lang w:val="en-US" w:eastAsia="zh-CN"/>
        </w:rPr>
      </w:pPr>
      <w:r>
        <w:rPr>
          <w:rFonts w:hint="eastAsia"/>
          <w:lang w:val="en-US" w:eastAsia="zh-CN"/>
        </w:rPr>
        <w:t>如有其他债权，一并列示。</w:t>
      </w:r>
    </w:p>
  </w:comment>
  <w:comment w:id="1" w:author="冯兴兴" w:date="2024-06-20T11:13:38Z" w:initials="冯">
    <w:p w14:paraId="287206E3">
      <w:pPr>
        <w:pStyle w:val="5"/>
        <w:rPr>
          <w:rFonts w:hint="default" w:eastAsia="宋体"/>
          <w:lang w:val="en-US" w:eastAsia="zh-CN"/>
        </w:rPr>
      </w:pPr>
      <w:r>
        <w:rPr>
          <w:rFonts w:hint="eastAsia"/>
          <w:lang w:val="en-US" w:eastAsia="zh-CN"/>
        </w:rPr>
        <w:t>如诉讼费等费用不转让，则删除相应费用。</w:t>
      </w:r>
    </w:p>
  </w:comment>
  <w:comment w:id="2" w:author="冯兴兴" w:date="2024-12-31T20:45:28Z" w:initials="冯">
    <w:p w14:paraId="0666758A">
      <w:pPr>
        <w:pStyle w:val="5"/>
        <w:rPr>
          <w:rFonts w:hint="default" w:eastAsia="宋体"/>
          <w:lang w:val="en-US" w:eastAsia="zh-CN"/>
        </w:rPr>
      </w:pPr>
      <w:r>
        <w:rPr>
          <w:rFonts w:hint="eastAsia"/>
          <w:lang w:val="en-US" w:eastAsia="zh-CN"/>
        </w:rPr>
        <w:t>如买受人为自然人，修改为“甲方加盖公章乙方签名”，不得用名章代替。</w:t>
      </w:r>
    </w:p>
  </w:comment>
  <w:comment w:id="3" w:author="冯兴兴" w:date="2025-01-02T10:01:11Z" w:initials="冯">
    <w:p w14:paraId="780E031C">
      <w:pPr>
        <w:pStyle w:val="5"/>
      </w:pPr>
      <w:r>
        <w:rPr>
          <w:rFonts w:hint="eastAsia"/>
          <w:lang w:val="en-US" w:eastAsia="zh-CN"/>
        </w:rPr>
        <w:t>如需可盖分公司负责人名章，则无需修改。应尽可能要求受让方法定代表人签名。</w:t>
      </w:r>
    </w:p>
  </w:comment>
  <w:comment w:id="4" w:author="冯兴兴" w:date="2025-01-03T11:05:19Z" w:initials="冯">
    <w:p w14:paraId="12622D2C">
      <w:pPr>
        <w:pStyle w:val="5"/>
      </w:pPr>
      <w:r>
        <w:rPr>
          <w:rFonts w:hint="eastAsia"/>
          <w:lang w:val="en-US" w:eastAsia="zh-CN"/>
        </w:rPr>
        <w:t>如无，请删除。</w:t>
      </w:r>
    </w:p>
  </w:comment>
  <w:comment w:id="5" w:author="冯兴兴" w:date="2025-01-02T11:17:18Z" w:initials="冯">
    <w:p w14:paraId="009153C1">
      <w:pPr>
        <w:pStyle w:val="5"/>
        <w:rPr>
          <w:rFonts w:hint="default" w:eastAsia="宋体"/>
          <w:lang w:val="en-US" w:eastAsia="zh-CN"/>
        </w:rPr>
      </w:pPr>
      <w:r>
        <w:rPr>
          <w:rFonts w:hint="eastAsia"/>
          <w:lang w:val="en-US" w:eastAsia="zh-CN"/>
        </w:rPr>
        <w:t>如无，请删除。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070456" w15:done="0"/>
  <w15:commentEx w15:paraId="287206E3" w15:done="0"/>
  <w15:commentEx w15:paraId="0666758A" w15:done="0"/>
  <w15:commentEx w15:paraId="780E031C" w15:done="0"/>
  <w15:commentEx w15:paraId="12622D2C" w15:done="0"/>
  <w15:commentEx w15:paraId="009153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decorative"/>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兴兴">
    <w15:presenceInfo w15:providerId="None" w15:userId="冯兴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val="bestFit"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230F3"/>
    <w:rsid w:val="01397C9C"/>
    <w:rsid w:val="015676BF"/>
    <w:rsid w:val="01941722"/>
    <w:rsid w:val="01ED30B6"/>
    <w:rsid w:val="024D552A"/>
    <w:rsid w:val="029C1F55"/>
    <w:rsid w:val="02B81885"/>
    <w:rsid w:val="02CF14AA"/>
    <w:rsid w:val="033C7B51"/>
    <w:rsid w:val="03525630"/>
    <w:rsid w:val="03DA4A5D"/>
    <w:rsid w:val="041F3E12"/>
    <w:rsid w:val="04467D92"/>
    <w:rsid w:val="046D5972"/>
    <w:rsid w:val="0564268C"/>
    <w:rsid w:val="05E5754B"/>
    <w:rsid w:val="05EA6510"/>
    <w:rsid w:val="068D758D"/>
    <w:rsid w:val="075D78FC"/>
    <w:rsid w:val="084044DD"/>
    <w:rsid w:val="085801BC"/>
    <w:rsid w:val="089E0A55"/>
    <w:rsid w:val="098375FB"/>
    <w:rsid w:val="0AF11E5E"/>
    <w:rsid w:val="0B697E78"/>
    <w:rsid w:val="0BB0283D"/>
    <w:rsid w:val="0C415D71"/>
    <w:rsid w:val="0C767E33"/>
    <w:rsid w:val="0CEC47C3"/>
    <w:rsid w:val="0D473C2E"/>
    <w:rsid w:val="0DF72F8F"/>
    <w:rsid w:val="0E381596"/>
    <w:rsid w:val="0EEF0710"/>
    <w:rsid w:val="0EFE4C65"/>
    <w:rsid w:val="0F27347B"/>
    <w:rsid w:val="0F276A6D"/>
    <w:rsid w:val="0F752EA3"/>
    <w:rsid w:val="0FCE22FD"/>
    <w:rsid w:val="122968D9"/>
    <w:rsid w:val="13800A72"/>
    <w:rsid w:val="13DA081E"/>
    <w:rsid w:val="144B7A97"/>
    <w:rsid w:val="14B22A7F"/>
    <w:rsid w:val="14ED293C"/>
    <w:rsid w:val="154A7873"/>
    <w:rsid w:val="16AA748F"/>
    <w:rsid w:val="16B212CB"/>
    <w:rsid w:val="18C57A32"/>
    <w:rsid w:val="19D3216D"/>
    <w:rsid w:val="19DB276A"/>
    <w:rsid w:val="1B4F4EDD"/>
    <w:rsid w:val="1B6F4296"/>
    <w:rsid w:val="1BBB420C"/>
    <w:rsid w:val="1C943EEF"/>
    <w:rsid w:val="1CBA66FB"/>
    <w:rsid w:val="1D536262"/>
    <w:rsid w:val="1D892799"/>
    <w:rsid w:val="1F685851"/>
    <w:rsid w:val="1F6C0130"/>
    <w:rsid w:val="1FE04F02"/>
    <w:rsid w:val="1FFF2036"/>
    <w:rsid w:val="20B13FB4"/>
    <w:rsid w:val="20BE097B"/>
    <w:rsid w:val="20F77BEB"/>
    <w:rsid w:val="2204230C"/>
    <w:rsid w:val="22221455"/>
    <w:rsid w:val="22873935"/>
    <w:rsid w:val="22946A13"/>
    <w:rsid w:val="22BA72A8"/>
    <w:rsid w:val="23A848B2"/>
    <w:rsid w:val="23E2706A"/>
    <w:rsid w:val="242642DB"/>
    <w:rsid w:val="24651B2D"/>
    <w:rsid w:val="24916D80"/>
    <w:rsid w:val="258A19A4"/>
    <w:rsid w:val="26F052A6"/>
    <w:rsid w:val="270757C8"/>
    <w:rsid w:val="28151CC0"/>
    <w:rsid w:val="28205186"/>
    <w:rsid w:val="28F65B07"/>
    <w:rsid w:val="2A1A63AB"/>
    <w:rsid w:val="2A32471A"/>
    <w:rsid w:val="2B697EA4"/>
    <w:rsid w:val="2B9C641C"/>
    <w:rsid w:val="2C921477"/>
    <w:rsid w:val="2CAD2B77"/>
    <w:rsid w:val="2D017EE1"/>
    <w:rsid w:val="2D3C4843"/>
    <w:rsid w:val="2EA61897"/>
    <w:rsid w:val="2ED20A77"/>
    <w:rsid w:val="2EE93605"/>
    <w:rsid w:val="30146DD2"/>
    <w:rsid w:val="30BB3500"/>
    <w:rsid w:val="31BF0359"/>
    <w:rsid w:val="31C75C18"/>
    <w:rsid w:val="32245F0E"/>
    <w:rsid w:val="323E02C2"/>
    <w:rsid w:val="3297178C"/>
    <w:rsid w:val="329E1117"/>
    <w:rsid w:val="32CB1A44"/>
    <w:rsid w:val="33576347"/>
    <w:rsid w:val="338B2FA8"/>
    <w:rsid w:val="34A76F6E"/>
    <w:rsid w:val="35507787"/>
    <w:rsid w:val="3566192B"/>
    <w:rsid w:val="366208C9"/>
    <w:rsid w:val="3718671E"/>
    <w:rsid w:val="376F7781"/>
    <w:rsid w:val="37880D2F"/>
    <w:rsid w:val="37FF078B"/>
    <w:rsid w:val="3875702F"/>
    <w:rsid w:val="387F0E8A"/>
    <w:rsid w:val="39343BEA"/>
    <w:rsid w:val="39961B7F"/>
    <w:rsid w:val="3A5E23D3"/>
    <w:rsid w:val="3A8E5120"/>
    <w:rsid w:val="3B231786"/>
    <w:rsid w:val="3BFD2D30"/>
    <w:rsid w:val="3CA63F8F"/>
    <w:rsid w:val="3CB91DAE"/>
    <w:rsid w:val="3CBF2E36"/>
    <w:rsid w:val="3CD31AD7"/>
    <w:rsid w:val="3CDB71B4"/>
    <w:rsid w:val="3CFD16D2"/>
    <w:rsid w:val="3D690634"/>
    <w:rsid w:val="3D6B0D9C"/>
    <w:rsid w:val="3DC7550C"/>
    <w:rsid w:val="3E2A2088"/>
    <w:rsid w:val="3E4A28AD"/>
    <w:rsid w:val="3E5F0364"/>
    <w:rsid w:val="3EA02FC4"/>
    <w:rsid w:val="3F39088B"/>
    <w:rsid w:val="402818D6"/>
    <w:rsid w:val="411617D6"/>
    <w:rsid w:val="41D91542"/>
    <w:rsid w:val="42622E8A"/>
    <w:rsid w:val="42FA77EF"/>
    <w:rsid w:val="42FB2E4B"/>
    <w:rsid w:val="43056A83"/>
    <w:rsid w:val="43DD4F5D"/>
    <w:rsid w:val="448A77B2"/>
    <w:rsid w:val="45562AD0"/>
    <w:rsid w:val="458C2FAA"/>
    <w:rsid w:val="46157EB1"/>
    <w:rsid w:val="46D47B74"/>
    <w:rsid w:val="46FF1807"/>
    <w:rsid w:val="47106D8C"/>
    <w:rsid w:val="47A603FE"/>
    <w:rsid w:val="47C600BE"/>
    <w:rsid w:val="484C25FE"/>
    <w:rsid w:val="489D5DB0"/>
    <w:rsid w:val="4983062C"/>
    <w:rsid w:val="4A5A1AB4"/>
    <w:rsid w:val="4A96396C"/>
    <w:rsid w:val="4AED18C4"/>
    <w:rsid w:val="4B3B40FA"/>
    <w:rsid w:val="4B737AD7"/>
    <w:rsid w:val="4BDC75E2"/>
    <w:rsid w:val="4C5B2C5A"/>
    <w:rsid w:val="4CAA4EF6"/>
    <w:rsid w:val="4CB8339F"/>
    <w:rsid w:val="4CE715F3"/>
    <w:rsid w:val="4D3A7EED"/>
    <w:rsid w:val="4E4A6258"/>
    <w:rsid w:val="4E6728FD"/>
    <w:rsid w:val="4E7E09D4"/>
    <w:rsid w:val="4EF16577"/>
    <w:rsid w:val="4F664C06"/>
    <w:rsid w:val="4F8F6EC1"/>
    <w:rsid w:val="4FAA1D01"/>
    <w:rsid w:val="4FC71258"/>
    <w:rsid w:val="50C6193C"/>
    <w:rsid w:val="51170698"/>
    <w:rsid w:val="511F5AA4"/>
    <w:rsid w:val="512D0A9D"/>
    <w:rsid w:val="513E2AD6"/>
    <w:rsid w:val="51714A5C"/>
    <w:rsid w:val="51A2722D"/>
    <w:rsid w:val="51D303AF"/>
    <w:rsid w:val="5228716A"/>
    <w:rsid w:val="528266ED"/>
    <w:rsid w:val="52D214C8"/>
    <w:rsid w:val="536C7385"/>
    <w:rsid w:val="53B87967"/>
    <w:rsid w:val="546E4D68"/>
    <w:rsid w:val="54E37180"/>
    <w:rsid w:val="54F20968"/>
    <w:rsid w:val="55802710"/>
    <w:rsid w:val="56191A4F"/>
    <w:rsid w:val="56B31C4E"/>
    <w:rsid w:val="58B62318"/>
    <w:rsid w:val="590B7824"/>
    <w:rsid w:val="597C685E"/>
    <w:rsid w:val="5A496382"/>
    <w:rsid w:val="5A841633"/>
    <w:rsid w:val="5B223553"/>
    <w:rsid w:val="5B3E42C0"/>
    <w:rsid w:val="5BA17B6C"/>
    <w:rsid w:val="5D207CD9"/>
    <w:rsid w:val="5D410290"/>
    <w:rsid w:val="5DEE5DA8"/>
    <w:rsid w:val="5E031879"/>
    <w:rsid w:val="5E611EA8"/>
    <w:rsid w:val="5ED44DA1"/>
    <w:rsid w:val="60A55345"/>
    <w:rsid w:val="60DA41F1"/>
    <w:rsid w:val="62572464"/>
    <w:rsid w:val="627D223D"/>
    <w:rsid w:val="6354115D"/>
    <w:rsid w:val="641649C3"/>
    <w:rsid w:val="644D291F"/>
    <w:rsid w:val="64A2599C"/>
    <w:rsid w:val="6617798C"/>
    <w:rsid w:val="673274DF"/>
    <w:rsid w:val="67992BBF"/>
    <w:rsid w:val="67D4101E"/>
    <w:rsid w:val="684C53AD"/>
    <w:rsid w:val="68EB4053"/>
    <w:rsid w:val="6984338D"/>
    <w:rsid w:val="69A01157"/>
    <w:rsid w:val="6A2471B2"/>
    <w:rsid w:val="6A5401FE"/>
    <w:rsid w:val="6AB219F3"/>
    <w:rsid w:val="6B9E2B02"/>
    <w:rsid w:val="6BD25174"/>
    <w:rsid w:val="6C0B4266"/>
    <w:rsid w:val="6DFB42FF"/>
    <w:rsid w:val="6DFD7802"/>
    <w:rsid w:val="6E4A407E"/>
    <w:rsid w:val="6E992E86"/>
    <w:rsid w:val="6F113E47"/>
    <w:rsid w:val="6F1410FE"/>
    <w:rsid w:val="6F2443B5"/>
    <w:rsid w:val="6F30705D"/>
    <w:rsid w:val="6F3A720A"/>
    <w:rsid w:val="6F4A5808"/>
    <w:rsid w:val="6F7A6DCE"/>
    <w:rsid w:val="6FB33650"/>
    <w:rsid w:val="70964DE9"/>
    <w:rsid w:val="70DB4A60"/>
    <w:rsid w:val="717B51BA"/>
    <w:rsid w:val="72500661"/>
    <w:rsid w:val="75A6706A"/>
    <w:rsid w:val="75AF1087"/>
    <w:rsid w:val="75D44E5F"/>
    <w:rsid w:val="76294569"/>
    <w:rsid w:val="76C57C6B"/>
    <w:rsid w:val="76CF057A"/>
    <w:rsid w:val="784E1CF0"/>
    <w:rsid w:val="78A649A6"/>
    <w:rsid w:val="79416D2A"/>
    <w:rsid w:val="795939E6"/>
    <w:rsid w:val="7984759A"/>
    <w:rsid w:val="7A9C7ED4"/>
    <w:rsid w:val="7AFF21C7"/>
    <w:rsid w:val="7B1750CC"/>
    <w:rsid w:val="7BC94525"/>
    <w:rsid w:val="7C122FF1"/>
    <w:rsid w:val="7DD26FEA"/>
    <w:rsid w:val="7E3748CF"/>
    <w:rsid w:val="7F255CC0"/>
    <w:rsid w:val="7FB3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2"/>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Body Text"/>
    <w:basedOn w:val="1"/>
    <w:link w:val="23"/>
    <w:qFormat/>
    <w:uiPriority w:val="0"/>
    <w:pPr>
      <w:ind w:firstLine="1440"/>
    </w:pPr>
    <w:rPr>
      <w:rFonts w:eastAsia="Batang"/>
      <w:kern w:val="0"/>
      <w:sz w:val="22"/>
      <w:szCs w:val="22"/>
      <w:lang w:eastAsia="ko-KR"/>
    </w:rPr>
  </w:style>
  <w:style w:type="paragraph" w:styleId="7">
    <w:name w:val="index 4"/>
    <w:basedOn w:val="1"/>
    <w:next w:val="1"/>
    <w:qFormat/>
    <w:uiPriority w:val="0"/>
    <w:pPr>
      <w:ind w:firstLine="712" w:firstLineChars="200"/>
    </w:pPr>
    <w:rPr>
      <w:szCs w:val="24"/>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spacing w:after="120" w:line="480" w:lineRule="auto"/>
      <w:ind w:left="200" w:leftChars="200"/>
    </w:pPr>
  </w:style>
  <w:style w:type="paragraph" w:styleId="10">
    <w:name w:val="Balloon Text"/>
    <w:basedOn w:val="1"/>
    <w:link w:val="2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3"/>
    <w:qFormat/>
    <w:uiPriority w:val="0"/>
    <w:rPr>
      <w:rFonts w:ascii="Times New Roman" w:hAnsi="Times New Roman" w:eastAsia="宋体" w:cs="Times New Roman"/>
      <w:b/>
      <w:caps/>
      <w:color w:val="0000FF"/>
      <w:kern w:val="36"/>
      <w:sz w:val="22"/>
      <w:lang w:eastAsia="ko-KR"/>
    </w:rPr>
  </w:style>
  <w:style w:type="character" w:customStyle="1" w:styleId="22">
    <w:name w:val="标题 2 Char"/>
    <w:basedOn w:val="16"/>
    <w:link w:val="4"/>
    <w:qFormat/>
    <w:uiPriority w:val="0"/>
    <w:rPr>
      <w:rFonts w:ascii="Times New Roman" w:hAnsi="Times New Roman" w:eastAsia="宋体" w:cs="Times New Roman"/>
      <w:b/>
      <w:color w:val="0000FF"/>
      <w:kern w:val="0"/>
      <w:sz w:val="22"/>
      <w:lang w:eastAsia="ko-KR"/>
    </w:rPr>
  </w:style>
  <w:style w:type="character" w:customStyle="1" w:styleId="23">
    <w:name w:val="正文文本 Char"/>
    <w:basedOn w:val="16"/>
    <w:link w:val="6"/>
    <w:qFormat/>
    <w:uiPriority w:val="0"/>
    <w:rPr>
      <w:rFonts w:ascii="Times New Roman" w:hAnsi="Times New Roman" w:eastAsia="Batang" w:cs="Times New Roman"/>
      <w:kern w:val="0"/>
      <w:sz w:val="22"/>
      <w:lang w:eastAsia="ko-KR"/>
    </w:rPr>
  </w:style>
  <w:style w:type="character" w:customStyle="1" w:styleId="24">
    <w:name w:val="正文文本缩进 2 Char"/>
    <w:basedOn w:val="16"/>
    <w:link w:val="9"/>
    <w:qFormat/>
    <w:uiPriority w:val="0"/>
    <w:rPr>
      <w:rFonts w:ascii="Times New Roman" w:hAnsi="Times New Roman" w:eastAsia="宋体" w:cs="Times New Roman"/>
      <w:szCs w:val="20"/>
    </w:rPr>
  </w:style>
  <w:style w:type="paragraph" w:customStyle="1" w:styleId="25">
    <w:name w:val="Body Text First Indent just"/>
    <w:next w:val="6"/>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6">
    <w:name w:val="Normal (Justified)"/>
    <w:basedOn w:val="1"/>
    <w:qFormat/>
    <w:uiPriority w:val="0"/>
    <w:pPr>
      <w:widowControl/>
    </w:pPr>
    <w:rPr>
      <w:snapToGrid w:val="0"/>
      <w:kern w:val="28"/>
      <w:sz w:val="24"/>
    </w:rPr>
  </w:style>
  <w:style w:type="character" w:customStyle="1" w:styleId="27">
    <w:name w:val="日期 Char"/>
    <w:basedOn w:val="16"/>
    <w:link w:val="8"/>
    <w:semiHidden/>
    <w:qFormat/>
    <w:uiPriority w:val="99"/>
    <w:rPr>
      <w:rFonts w:ascii="Times New Roman" w:hAnsi="Times New Roman" w:eastAsia="宋体" w:cs="Times New Roman"/>
      <w:szCs w:val="20"/>
    </w:rPr>
  </w:style>
  <w:style w:type="character" w:customStyle="1" w:styleId="28">
    <w:name w:val="批注框文本 Char"/>
    <w:basedOn w:val="16"/>
    <w:link w:val="10"/>
    <w:semiHidden/>
    <w:qFormat/>
    <w:uiPriority w:val="99"/>
    <w:rPr>
      <w:rFonts w:ascii="Times New Roman" w:hAnsi="Times New Roman" w:eastAsia="宋体" w:cs="Times New Roman"/>
      <w:sz w:val="18"/>
      <w:szCs w:val="18"/>
    </w:rPr>
  </w:style>
  <w:style w:type="paragraph" w:customStyle="1" w:styleId="29">
    <w:name w:val="Char Char Char"/>
    <w:basedOn w:val="1"/>
    <w:qFormat/>
    <w:uiPriority w:val="0"/>
    <w:pPr>
      <w:adjustRightInd w:val="0"/>
    </w:pPr>
    <w:rPr>
      <w:szCs w:val="24"/>
    </w:rPr>
  </w:style>
  <w:style w:type="paragraph" w:customStyle="1" w:styleId="30">
    <w:name w:val="列出段落1"/>
    <w:basedOn w:val="1"/>
    <w:unhideWhenUsed/>
    <w:qFormat/>
    <w:uiPriority w:val="99"/>
    <w:pPr>
      <w:ind w:firstLine="420" w:firstLineChars="200"/>
    </w:pPr>
  </w:style>
  <w:style w:type="paragraph" w:customStyle="1" w:styleId="31">
    <w:name w:val="Char Char Char1"/>
    <w:basedOn w:val="1"/>
    <w:qFormat/>
    <w:uiPriority w:val="0"/>
    <w:pPr>
      <w:adjustRightInd w:val="0"/>
    </w:pPr>
    <w:rPr>
      <w:szCs w:val="24"/>
    </w:rPr>
  </w:style>
  <w:style w:type="paragraph" w:customStyle="1" w:styleId="32">
    <w:name w:val="Date1"/>
    <w:basedOn w:val="1"/>
    <w:next w:val="26"/>
    <w:link w:val="33"/>
    <w:qFormat/>
    <w:uiPriority w:val="0"/>
    <w:pPr>
      <w:widowControl/>
      <w:spacing w:after="200" w:line="276" w:lineRule="auto"/>
      <w:jc w:val="center"/>
    </w:pPr>
    <w:rPr>
      <w:kern w:val="0"/>
      <w:sz w:val="24"/>
    </w:rPr>
  </w:style>
  <w:style w:type="character" w:customStyle="1" w:styleId="33">
    <w:name w:val="Date Char Char"/>
    <w:link w:val="32"/>
    <w:qFormat/>
    <w:uiPriority w:val="0"/>
    <w:rPr>
      <w:sz w:val="24"/>
    </w:rPr>
  </w:style>
  <w:style w:type="character" w:customStyle="1" w:styleId="34">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33</Pages>
  <Words>2830</Words>
  <Characters>16136</Characters>
  <Lines>134</Lines>
  <Paragraphs>37</Paragraphs>
  <TotalTime>0</TotalTime>
  <ScaleCrop>false</ScaleCrop>
  <LinksUpToDate>false</LinksUpToDate>
  <CharactersWithSpaces>18929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冯兴兴</cp:lastModifiedBy>
  <cp:lastPrinted>2024-04-10T01:54:00Z</cp:lastPrinted>
  <dcterms:modified xsi:type="dcterms:W3CDTF">2025-05-16T08:25:10Z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50CB9E75CE3643DA82F25B725BF21FF8</vt:lpwstr>
  </property>
</Properties>
</file>