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360" w:lineRule="auto"/>
        <w:ind w:right="210"/>
        <w:jc w:val="right"/>
        <w:rPr>
          <w:rFonts w:ascii="仿宋" w:hAnsi="仿宋" w:eastAsia="仿宋" w:cs="宋体"/>
          <w:sz w:val="30"/>
          <w:szCs w:val="30"/>
          <w:highlight w:val="none"/>
        </w:rPr>
      </w:pPr>
      <w:r>
        <w:rPr>
          <w:rFonts w:hint="eastAsia" w:ascii="仿宋" w:hAnsi="仿宋" w:eastAsia="仿宋" w:cs="宋体"/>
          <w:sz w:val="30"/>
          <w:szCs w:val="30"/>
          <w:highlight w:val="none"/>
        </w:rPr>
        <w:t>协议编号【</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w:t>
      </w:r>
    </w:p>
    <w:p>
      <w:pPr>
        <w:spacing w:line="360" w:lineRule="auto"/>
        <w:ind w:right="960"/>
        <w:jc w:val="right"/>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r>
        <w:rPr>
          <w:rFonts w:hint="eastAsia" w:ascii="仿宋" w:hAnsi="仿宋" w:eastAsia="仿宋" w:cs="宋体"/>
          <w:sz w:val="30"/>
          <w:szCs w:val="30"/>
          <w:highlight w:val="none"/>
        </w:rPr>
        <w:t>中国中信金融资产管理股份有限公司山东省分公司</w:t>
      </w:r>
    </w:p>
    <w:p>
      <w:pPr>
        <w:widowControl/>
        <w:spacing w:line="360" w:lineRule="auto"/>
        <w:jc w:val="center"/>
        <w:rPr>
          <w:rFonts w:hint="eastAsia"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r>
        <w:rPr>
          <w:rFonts w:hint="eastAsia" w:ascii="仿宋" w:hAnsi="仿宋" w:eastAsia="仿宋" w:cs="宋体"/>
          <w:sz w:val="30"/>
          <w:szCs w:val="30"/>
          <w:highlight w:val="none"/>
        </w:rPr>
        <w:t>与</w:t>
      </w:r>
    </w:p>
    <w:p>
      <w:pPr>
        <w:widowControl/>
        <w:spacing w:line="360" w:lineRule="auto"/>
        <w:jc w:val="center"/>
        <w:rPr>
          <w:rFonts w:ascii="仿宋" w:hAnsi="仿宋" w:eastAsia="仿宋" w:cs="宋体"/>
          <w:sz w:val="30"/>
          <w:szCs w:val="30"/>
          <w:highlight w:val="none"/>
        </w:rPr>
      </w:pPr>
    </w:p>
    <w:p>
      <w:pPr>
        <w:widowControl/>
        <w:spacing w:line="360" w:lineRule="auto"/>
        <w:jc w:val="center"/>
        <w:rPr>
          <w:rFonts w:hint="eastAsia" w:ascii="仿宋" w:hAnsi="仿宋" w:eastAsia="仿宋" w:cs="宋体"/>
          <w:sz w:val="30"/>
          <w:szCs w:val="30"/>
          <w:highlight w:val="none"/>
          <w:lang w:eastAsia="zh-CN"/>
        </w:rPr>
      </w:pPr>
      <w:r>
        <w:rPr>
          <w:rFonts w:hint="eastAsia" w:ascii="仿宋" w:hAnsi="仿宋" w:eastAsia="仿宋" w:cs="宋体"/>
          <w:sz w:val="30"/>
          <w:szCs w:val="30"/>
          <w:highlight w:val="none"/>
          <w:lang w:val="en-US" w:eastAsia="zh-CN"/>
        </w:rPr>
        <w:t>XX</w:t>
      </w:r>
      <w:r>
        <w:rPr>
          <w:rFonts w:hint="eastAsia" w:ascii="仿宋" w:hAnsi="仿宋" w:eastAsia="仿宋" w:cs="宋体"/>
          <w:sz w:val="30"/>
          <w:szCs w:val="30"/>
          <w:highlight w:val="none"/>
          <w:lang w:eastAsia="zh-CN"/>
        </w:rPr>
        <w:t>公司</w:t>
      </w:r>
    </w:p>
    <w:p>
      <w:pPr>
        <w:widowControl/>
        <w:spacing w:line="360" w:lineRule="auto"/>
        <w:jc w:val="center"/>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r>
        <w:rPr>
          <w:rFonts w:hint="eastAsia" w:ascii="仿宋" w:hAnsi="仿宋" w:eastAsia="仿宋" w:cs="宋体"/>
          <w:sz w:val="30"/>
          <w:szCs w:val="30"/>
          <w:highlight w:val="none"/>
        </w:rPr>
        <w:t>不良资产委托处置协议</w:t>
      </w:r>
    </w:p>
    <w:p>
      <w:pPr>
        <w:widowControl/>
        <w:spacing w:line="360" w:lineRule="auto"/>
        <w:jc w:val="center"/>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p>
    <w:p>
      <w:pPr>
        <w:widowControl/>
        <w:spacing w:line="360" w:lineRule="auto"/>
        <w:jc w:val="center"/>
        <w:rPr>
          <w:rFonts w:ascii="仿宋" w:hAnsi="仿宋" w:eastAsia="仿宋" w:cs="宋体"/>
          <w:sz w:val="30"/>
          <w:szCs w:val="30"/>
          <w:highlight w:val="none"/>
        </w:rPr>
      </w:pP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年</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月</w:t>
      </w:r>
    </w:p>
    <w:p>
      <w:pPr>
        <w:widowControl/>
        <w:spacing w:line="360" w:lineRule="auto"/>
        <w:jc w:val="left"/>
        <w:rPr>
          <w:rFonts w:ascii="仿宋" w:hAnsi="仿宋" w:eastAsia="仿宋" w:cs="宋体"/>
          <w:sz w:val="30"/>
          <w:szCs w:val="30"/>
          <w:highlight w:val="none"/>
        </w:rPr>
      </w:pPr>
      <w:r>
        <w:rPr>
          <w:rFonts w:hint="eastAsia" w:ascii="仿宋" w:hAnsi="仿宋" w:eastAsia="仿宋" w:cs="宋体"/>
          <w:sz w:val="30"/>
          <w:szCs w:val="30"/>
          <w:highlight w:val="none"/>
        </w:rPr>
        <w:br w:type="page"/>
      </w:r>
    </w:p>
    <w:p>
      <w:pPr>
        <w:spacing w:line="360" w:lineRule="auto"/>
        <w:rPr>
          <w:rFonts w:ascii="仿宋" w:hAnsi="仿宋" w:eastAsia="仿宋" w:cs="宋体"/>
          <w:sz w:val="30"/>
          <w:szCs w:val="30"/>
          <w:highlight w:val="none"/>
        </w:rPr>
      </w:pPr>
      <w:r>
        <w:rPr>
          <w:rFonts w:hint="eastAsia" w:ascii="仿宋" w:hAnsi="仿宋" w:eastAsia="仿宋" w:cs="宋体"/>
          <w:sz w:val="30"/>
          <w:szCs w:val="30"/>
          <w:highlight w:val="none"/>
        </w:rPr>
        <w:t>本协议由以下双方于【</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】年【</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】月【</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】日在山东济南共同签署。</w:t>
      </w:r>
    </w:p>
    <w:p>
      <w:pPr>
        <w:spacing w:line="360" w:lineRule="auto"/>
        <w:rPr>
          <w:rFonts w:ascii="仿宋" w:hAnsi="仿宋" w:eastAsia="仿宋" w:cs="宋体"/>
          <w:sz w:val="30"/>
          <w:szCs w:val="30"/>
          <w:highlight w:val="none"/>
        </w:rPr>
      </w:pP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甲方：</w:t>
      </w: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法定代表人：</w:t>
      </w: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地址：</w:t>
      </w:r>
    </w:p>
    <w:p>
      <w:pPr>
        <w:spacing w:line="360" w:lineRule="auto"/>
        <w:rPr>
          <w:rFonts w:hint="eastAsia" w:ascii="仿宋" w:hAnsi="仿宋" w:eastAsia="仿宋" w:cs="宋体"/>
          <w:sz w:val="30"/>
          <w:szCs w:val="30"/>
          <w:highlight w:val="none"/>
        </w:rPr>
      </w:pPr>
    </w:p>
    <w:p>
      <w:pPr>
        <w:spacing w:line="360" w:lineRule="auto"/>
        <w:rPr>
          <w:rFonts w:hint="eastAsia" w:ascii="仿宋" w:hAnsi="仿宋" w:eastAsia="仿宋" w:cs="宋体"/>
          <w:sz w:val="30"/>
          <w:szCs w:val="30"/>
          <w:highlight w:val="none"/>
        </w:rPr>
      </w:pP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乙方：中国中信金融资产管理股份有限公司山东省分公司</w:t>
      </w: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负责人：杨震</w:t>
      </w:r>
    </w:p>
    <w:p>
      <w:pPr>
        <w:spacing w:line="360" w:lineRule="auto"/>
        <w:rPr>
          <w:rFonts w:hint="eastAsia" w:ascii="仿宋" w:hAnsi="仿宋" w:eastAsia="仿宋" w:cs="宋体"/>
          <w:sz w:val="30"/>
          <w:szCs w:val="30"/>
          <w:highlight w:val="none"/>
        </w:rPr>
      </w:pPr>
      <w:r>
        <w:rPr>
          <w:rFonts w:hint="eastAsia" w:ascii="仿宋" w:hAnsi="仿宋" w:eastAsia="仿宋" w:cs="宋体"/>
          <w:sz w:val="30"/>
          <w:szCs w:val="30"/>
          <w:highlight w:val="none"/>
        </w:rPr>
        <w:t>地址：山东省济南市经三路89号</w:t>
      </w:r>
    </w:p>
    <w:p>
      <w:pPr>
        <w:pStyle w:val="2"/>
        <w:rPr>
          <w:highlight w:val="none"/>
        </w:rPr>
      </w:pP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鉴于：</w:t>
      </w:r>
    </w:p>
    <w:p>
      <w:pPr>
        <w:spacing w:before="120" w:after="120"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1. 甲方拥有签署、交付和履行本协议以及履行本协议项下交易的授权和权利。</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2. 甲方是债权资产的合法权利人，有权委托处置本协议项下的债权资产。</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3．甲方委托乙方处置</w:t>
      </w:r>
      <w:r>
        <w:rPr>
          <w:rFonts w:hint="eastAsia" w:ascii="仿宋" w:hAnsi="仿宋" w:eastAsia="仿宋" w:cs="宋体"/>
          <w:color w:val="000000" w:themeColor="text1"/>
          <w:sz w:val="30"/>
          <w:szCs w:val="30"/>
          <w:highlight w:val="none"/>
          <w14:textFill>
            <w14:solidFill>
              <w14:schemeClr w14:val="tx1"/>
            </w14:solidFill>
          </w14:textFill>
        </w:rPr>
        <w:t>附件一</w:t>
      </w:r>
      <w:r>
        <w:rPr>
          <w:rFonts w:hint="eastAsia" w:ascii="仿宋" w:hAnsi="仿宋" w:eastAsia="仿宋" w:cs="宋体"/>
          <w:sz w:val="30"/>
          <w:szCs w:val="30"/>
          <w:highlight w:val="none"/>
        </w:rPr>
        <w:t>所列的债权资产，乙方同意接受此委托。</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4.</w:t>
      </w:r>
      <w:r>
        <w:rPr>
          <w:rFonts w:ascii="仿宋" w:hAnsi="仿宋" w:eastAsia="仿宋" w:cs="宋体"/>
          <w:sz w:val="30"/>
          <w:szCs w:val="30"/>
          <w:highlight w:val="none"/>
        </w:rPr>
        <w:t xml:space="preserve"> 就本协议的签署，甲乙双方分别承诺已经履行了应由本方完成的必要的审批或备案等相关手续，取得了必要的授权。</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双方在平等互利、协商一致的基础上，就委托事宜达成如下协议：</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第一条 定义</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除非另有特别解释或说明，在本协议及本协议双方另行签署的其他相关文件中，下列用语均依如下定义进行解释：</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1.1</w:t>
      </w:r>
      <w:r>
        <w:rPr>
          <w:rFonts w:hint="eastAsia" w:ascii="仿宋" w:hAnsi="仿宋" w:eastAsia="仿宋" w:cs="宋体"/>
          <w:b/>
          <w:sz w:val="30"/>
          <w:szCs w:val="30"/>
          <w:highlight w:val="none"/>
        </w:rPr>
        <w:t>标的资产</w:t>
      </w:r>
      <w:r>
        <w:rPr>
          <w:rFonts w:hint="eastAsia" w:ascii="仿宋" w:hAnsi="仿宋" w:eastAsia="仿宋" w:cs="宋体"/>
          <w:sz w:val="30"/>
          <w:szCs w:val="30"/>
          <w:highlight w:val="none"/>
        </w:rPr>
        <w:t>：本协议项下的委托处置标的，具体明细见附件一。</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1.2</w:t>
      </w:r>
      <w:r>
        <w:rPr>
          <w:rFonts w:hint="eastAsia" w:ascii="仿宋" w:hAnsi="仿宋" w:eastAsia="仿宋" w:cs="宋体"/>
          <w:b/>
          <w:sz w:val="30"/>
          <w:szCs w:val="30"/>
          <w:highlight w:val="none"/>
        </w:rPr>
        <w:t>委托处置</w:t>
      </w:r>
      <w:r>
        <w:rPr>
          <w:rFonts w:hint="eastAsia" w:ascii="仿宋" w:hAnsi="仿宋" w:eastAsia="仿宋" w:cs="宋体"/>
          <w:sz w:val="30"/>
          <w:szCs w:val="30"/>
          <w:highlight w:val="none"/>
        </w:rPr>
        <w:t>：指在双方签订本协议后，由乙方根据甲方委托及授权，对标的资产进行管理、处置和清收。</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1.3</w:t>
      </w:r>
      <w:r>
        <w:rPr>
          <w:rFonts w:hint="eastAsia" w:ascii="仿宋" w:hAnsi="仿宋" w:eastAsia="仿宋" w:cs="宋体"/>
          <w:b/>
          <w:sz w:val="30"/>
          <w:szCs w:val="30"/>
          <w:highlight w:val="none"/>
        </w:rPr>
        <w:t>回收净现金额</w:t>
      </w:r>
      <w:r>
        <w:rPr>
          <w:rFonts w:hint="eastAsia" w:ascii="仿宋" w:hAnsi="仿宋" w:eastAsia="仿宋" w:cs="宋体"/>
          <w:sz w:val="30"/>
          <w:szCs w:val="30"/>
          <w:highlight w:val="none"/>
        </w:rPr>
        <w:t>：指处置清收标的资产</w:t>
      </w:r>
      <w:r>
        <w:rPr>
          <w:rFonts w:hint="eastAsia" w:ascii="仿宋" w:hAnsi="仿宋" w:eastAsia="仿宋" w:cs="宋体"/>
          <w:color w:val="000000" w:themeColor="text1"/>
          <w:sz w:val="30"/>
          <w:szCs w:val="30"/>
          <w:highlight w:val="none"/>
          <w14:textFill>
            <w14:solidFill>
              <w14:schemeClr w14:val="tx1"/>
            </w14:solidFill>
          </w14:textFill>
        </w:rPr>
        <w:t>的</w:t>
      </w:r>
      <w:r>
        <w:rPr>
          <w:rFonts w:hint="eastAsia" w:ascii="仿宋" w:hAnsi="仿宋" w:eastAsia="仿宋" w:cs="宋体"/>
          <w:sz w:val="30"/>
          <w:szCs w:val="30"/>
          <w:highlight w:val="none"/>
        </w:rPr>
        <w:t>回收现金额扣除乙方垫付的</w:t>
      </w:r>
      <w:r>
        <w:rPr>
          <w:rFonts w:hint="eastAsia" w:ascii="仿宋" w:hAnsi="仿宋" w:eastAsia="仿宋" w:cs="宋体"/>
          <w:color w:val="000000" w:themeColor="text1"/>
          <w:sz w:val="30"/>
          <w:szCs w:val="30"/>
          <w:highlight w:val="none"/>
          <w14:textFill>
            <w14:solidFill>
              <w14:schemeClr w14:val="tx1"/>
            </w14:solidFill>
          </w14:textFill>
        </w:rPr>
        <w:t>清收处置</w:t>
      </w:r>
      <w:r>
        <w:rPr>
          <w:rFonts w:hint="eastAsia" w:ascii="仿宋" w:hAnsi="仿宋" w:eastAsia="仿宋" w:cs="宋体"/>
          <w:sz w:val="30"/>
          <w:szCs w:val="30"/>
          <w:highlight w:val="none"/>
        </w:rPr>
        <w:t>费用后的余额。</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1.4</w:t>
      </w:r>
      <w:r>
        <w:rPr>
          <w:rFonts w:hint="eastAsia" w:ascii="仿宋" w:hAnsi="仿宋" w:eastAsia="仿宋" w:cs="宋体"/>
          <w:b/>
          <w:sz w:val="30"/>
          <w:szCs w:val="30"/>
          <w:highlight w:val="none"/>
        </w:rPr>
        <w:t>目标清收额</w:t>
      </w:r>
      <w:r>
        <w:rPr>
          <w:rFonts w:hint="eastAsia" w:ascii="仿宋" w:hAnsi="仿宋" w:eastAsia="仿宋" w:cs="宋体"/>
          <w:sz w:val="30"/>
          <w:szCs w:val="30"/>
          <w:highlight w:val="none"/>
        </w:rPr>
        <w:t>：双方约定</w:t>
      </w:r>
      <w:r>
        <w:rPr>
          <w:rFonts w:hint="eastAsia" w:ascii="仿宋" w:hAnsi="仿宋" w:eastAsia="仿宋" w:cs="宋体"/>
          <w:color w:val="000000" w:themeColor="text1"/>
          <w:sz w:val="30"/>
          <w:szCs w:val="30"/>
          <w:highlight w:val="none"/>
          <w14:textFill>
            <w14:solidFill>
              <w14:schemeClr w14:val="tx1"/>
            </w14:solidFill>
          </w14:textFill>
        </w:rPr>
        <w:t>的</w:t>
      </w:r>
      <w:r>
        <w:rPr>
          <w:rFonts w:hint="eastAsia" w:ascii="仿宋" w:hAnsi="仿宋" w:eastAsia="仿宋" w:cs="宋体"/>
          <w:sz w:val="30"/>
          <w:szCs w:val="30"/>
          <w:highlight w:val="none"/>
        </w:rPr>
        <w:t>以委托处置</w:t>
      </w:r>
      <w:r>
        <w:rPr>
          <w:rFonts w:hint="eastAsia" w:ascii="仿宋" w:hAnsi="仿宋" w:eastAsia="仿宋" w:cs="宋体"/>
          <w:color w:val="000000" w:themeColor="text1"/>
          <w:sz w:val="30"/>
          <w:szCs w:val="30"/>
          <w:highlight w:val="none"/>
          <w14:textFill>
            <w14:solidFill>
              <w14:schemeClr w14:val="tx1"/>
            </w14:solidFill>
          </w14:textFill>
        </w:rPr>
        <w:t>期末</w:t>
      </w:r>
      <w:r>
        <w:rPr>
          <w:rFonts w:hint="eastAsia" w:ascii="仿宋" w:hAnsi="仿宋" w:eastAsia="仿宋" w:cs="宋体"/>
          <w:sz w:val="30"/>
          <w:szCs w:val="30"/>
          <w:highlight w:val="none"/>
        </w:rPr>
        <w:t>为基准</w:t>
      </w:r>
      <w:r>
        <w:rPr>
          <w:rFonts w:hint="eastAsia" w:ascii="仿宋" w:hAnsi="仿宋" w:eastAsia="仿宋" w:cs="宋体"/>
          <w:color w:val="000000" w:themeColor="text1"/>
          <w:sz w:val="30"/>
          <w:szCs w:val="30"/>
          <w:highlight w:val="none"/>
          <w14:textFill>
            <w14:solidFill>
              <w14:schemeClr w14:val="tx1"/>
            </w14:solidFill>
          </w14:textFill>
        </w:rPr>
        <w:t>日</w:t>
      </w:r>
      <w:r>
        <w:rPr>
          <w:rFonts w:hint="eastAsia" w:ascii="仿宋" w:hAnsi="仿宋" w:eastAsia="仿宋" w:cs="宋体"/>
          <w:sz w:val="30"/>
          <w:szCs w:val="30"/>
          <w:highlight w:val="none"/>
        </w:rPr>
        <w:t>的总回收净现金额。</w:t>
      </w:r>
    </w:p>
    <w:p>
      <w:pPr>
        <w:spacing w:line="520" w:lineRule="exact"/>
        <w:ind w:firstLine="602" w:firstLineChars="200"/>
        <w:rPr>
          <w:rFonts w:ascii="仿宋" w:hAnsi="仿宋" w:eastAsia="仿宋" w:cs="宋体"/>
          <w:sz w:val="30"/>
          <w:szCs w:val="30"/>
          <w:highlight w:val="none"/>
        </w:rPr>
      </w:pPr>
      <w:r>
        <w:rPr>
          <w:rFonts w:hint="eastAsia" w:ascii="仿宋" w:hAnsi="仿宋" w:eastAsia="仿宋" w:cs="宋体"/>
          <w:b/>
          <w:bCs/>
          <w:sz w:val="30"/>
          <w:szCs w:val="30"/>
          <w:highlight w:val="none"/>
        </w:rPr>
        <w:t>1.5换算公式</w:t>
      </w:r>
      <w:r>
        <w:rPr>
          <w:rFonts w:hint="eastAsia" w:ascii="仿宋" w:hAnsi="仿宋" w:eastAsia="仿宋" w:cs="宋体"/>
          <w:sz w:val="30"/>
          <w:szCs w:val="30"/>
          <w:highlight w:val="none"/>
        </w:rPr>
        <w:t>：指把当期回收净现金额换算至委托处置期末回收净现金额的计算公式。</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F终=F即×(1+Y委×β换)/(1+Y即×β换)</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其中，F终：换算至处置期末回收净现金额</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F即：当期回收净现金额</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Y委：委托处置年限</w:t>
      </w:r>
    </w:p>
    <w:p>
      <w:pPr>
        <w:spacing w:line="520" w:lineRule="exact"/>
        <w:ind w:firstLine="600" w:firstLineChars="200"/>
        <w:rPr>
          <w:rFonts w:hint="default" w:ascii="仿宋" w:hAnsi="仿宋" w:eastAsia="宋体" w:cs="宋体"/>
          <w:sz w:val="30"/>
          <w:szCs w:val="30"/>
          <w:highlight w:val="none"/>
          <w:lang w:val="en-US" w:eastAsia="zh-CN"/>
        </w:rPr>
      </w:pPr>
      <w:r>
        <w:rPr>
          <w:rFonts w:hint="eastAsia" w:ascii="仿宋" w:hAnsi="仿宋" w:eastAsia="仿宋" w:cs="宋体"/>
          <w:sz w:val="30"/>
          <w:szCs w:val="30"/>
          <w:highlight w:val="none"/>
        </w:rPr>
        <w:t>Y即：当期年限</w:t>
      </w:r>
      <w:r>
        <w:rPr>
          <w:rFonts w:hint="eastAsia" w:ascii="仿宋" w:hAnsi="仿宋" w:eastAsia="仿宋" w:cs="宋体"/>
          <w:sz w:val="30"/>
          <w:szCs w:val="30"/>
          <w:highlight w:val="none"/>
          <w:lang w:val="en-US" w:eastAsia="zh-CN"/>
        </w:rPr>
        <w:t>。</w:t>
      </w:r>
    </w:p>
    <w:p>
      <w:pPr>
        <w:spacing w:line="520" w:lineRule="exact"/>
        <w:ind w:firstLine="600" w:firstLineChars="200"/>
        <w:rPr>
          <w:rFonts w:hint="eastAsia" w:ascii="仿宋" w:hAnsi="仿宋" w:eastAsia="仿宋" w:cs="宋体"/>
          <w:sz w:val="30"/>
          <w:szCs w:val="30"/>
          <w:highlight w:val="none"/>
          <w:lang w:eastAsia="zh-CN"/>
        </w:rPr>
      </w:pPr>
      <w:r>
        <w:rPr>
          <w:rFonts w:hint="eastAsia" w:ascii="仿宋" w:hAnsi="仿宋" w:eastAsia="仿宋" w:cs="宋体"/>
          <w:sz w:val="30"/>
          <w:szCs w:val="30"/>
          <w:highlight w:val="none"/>
        </w:rPr>
        <w:t>β换：换算系数，</w:t>
      </w:r>
      <w:r>
        <w:rPr>
          <w:rFonts w:hint="eastAsia" w:ascii="仿宋" w:hAnsi="仿宋" w:eastAsia="仿宋" w:cs="宋体"/>
          <w:sz w:val="30"/>
          <w:szCs w:val="30"/>
          <w:highlight w:val="none"/>
          <w:lang w:eastAsia="zh-CN"/>
        </w:rPr>
        <w:t>以本协议第七条约定为准。</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相关计算示例见附件二。</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第二条委托处置方式</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2.1在符合国家法律、法规、监管政策的情况下，乙方可根据适用于甲方的处置政策并结合委托资产的特点和市场情况，采取多种处置方式，包括但不限于现金清收、诉讼清收、以物抵债（抵债资产处置）、债务重组、债务减免、债权转让</w:t>
      </w:r>
      <w:r>
        <w:rPr>
          <w:rFonts w:hint="eastAsia" w:ascii="仿宋" w:hAnsi="仿宋" w:eastAsia="仿宋" w:cs="宋体"/>
          <w:color w:val="000000" w:themeColor="text1"/>
          <w:sz w:val="30"/>
          <w:szCs w:val="30"/>
          <w:highlight w:val="none"/>
          <w14:textFill>
            <w14:solidFill>
              <w14:schemeClr w14:val="tx1"/>
            </w14:solidFill>
          </w14:textFill>
        </w:rPr>
        <w:t>（含单项资产转让和打包资产转让，下同）</w:t>
      </w:r>
      <w:r>
        <w:rPr>
          <w:rFonts w:hint="eastAsia" w:ascii="仿宋" w:hAnsi="仿宋" w:eastAsia="仿宋" w:cs="宋体"/>
          <w:sz w:val="30"/>
          <w:szCs w:val="30"/>
          <w:highlight w:val="none"/>
        </w:rPr>
        <w:t>、代偿免保</w:t>
      </w:r>
      <w:r>
        <w:rPr>
          <w:rFonts w:hint="eastAsia" w:ascii="仿宋" w:hAnsi="仿宋" w:eastAsia="仿宋" w:cs="宋体"/>
          <w:sz w:val="30"/>
          <w:szCs w:val="30"/>
          <w:highlight w:val="none"/>
          <w:lang w:eastAsia="zh-CN"/>
        </w:rPr>
        <w:t>（担保人全部或部分代偿后免除担保责任）</w:t>
      </w:r>
      <w:r>
        <w:rPr>
          <w:rFonts w:hint="eastAsia" w:ascii="仿宋" w:hAnsi="仿宋" w:eastAsia="仿宋" w:cs="宋体"/>
          <w:sz w:val="30"/>
          <w:szCs w:val="30"/>
          <w:highlight w:val="none"/>
        </w:rPr>
        <w:t>、风险代理等方式。</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2.2在委托资产处置过程中，乙方可根据项目实际情况决定是否委聘用法律代理、资产评估、税务筹划等中介机构提供相关服务并支付相应服务费用。聘用前乙方应将聘用中介机构的必要性、拟聘用的中介机构名称、费用标准等以书面形式向甲方说明，甲方认为无聘用必要性、费用标准过高等，乙方不得聘用。</w:t>
      </w:r>
      <w:r>
        <w:rPr>
          <w:rFonts w:hint="eastAsia" w:ascii="仿宋" w:hAnsi="仿宋" w:eastAsia="仿宋" w:cs="宋体"/>
          <w:sz w:val="30"/>
          <w:szCs w:val="30"/>
          <w:highlight w:val="none"/>
          <w:lang w:eastAsia="zh-CN"/>
        </w:rPr>
        <w:t>若不聘用相关中介机构将直接影响资产处置进程、结果的，乙方不承担由此造成的损失，甲方对此知悉且无异议。</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签订本协议之前与中介机构签订的尚未执行完毕的合同需以书面形式向甲方提供合同清单并说明费用标准等，甲方同意后继续执行。</w:t>
      </w:r>
    </w:p>
    <w:p>
      <w:pPr>
        <w:spacing w:line="520" w:lineRule="exact"/>
        <w:ind w:firstLine="600" w:firstLineChars="200"/>
        <w:rPr>
          <w:rFonts w:hint="eastAsia" w:ascii="仿宋" w:hAnsi="仿宋" w:eastAsia="仿宋" w:cs="宋体"/>
          <w:sz w:val="30"/>
          <w:szCs w:val="30"/>
          <w:highlight w:val="none"/>
        </w:rPr>
      </w:pPr>
      <w:r>
        <w:rPr>
          <w:rFonts w:hint="eastAsia" w:ascii="仿宋" w:hAnsi="仿宋" w:eastAsia="仿宋" w:cs="宋体"/>
          <w:sz w:val="30"/>
          <w:szCs w:val="30"/>
          <w:highlight w:val="none"/>
        </w:rPr>
        <w:t>2.3乙方接受甲方委托对标的资产进行清收处置，不含任何显性或隐性回购条款，本协议所称目标清收额不是收益兜底或承诺。</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第三条 委托处置权限</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3.1乙方应以资产处置回收率最大化为核心标准，制订资产处置方案，并应按照本协议约定充分保障甲方对资产处置方案、处置进度和处置价格的知情权。</w:t>
      </w:r>
    </w:p>
    <w:p>
      <w:pPr>
        <w:spacing w:line="520" w:lineRule="exact"/>
        <w:ind w:firstLine="600" w:firstLineChars="200"/>
        <w:rPr>
          <w:rFonts w:hint="default" w:ascii="仿宋" w:hAnsi="仿宋" w:eastAsia="仿宋" w:cs="宋体"/>
          <w:sz w:val="30"/>
          <w:szCs w:val="30"/>
          <w:highlight w:val="none"/>
        </w:rPr>
      </w:pPr>
      <w:r>
        <w:rPr>
          <w:rFonts w:hint="eastAsia" w:ascii="仿宋" w:hAnsi="仿宋" w:eastAsia="仿宋" w:cs="宋体"/>
          <w:sz w:val="30"/>
          <w:szCs w:val="30"/>
          <w:highlight w:val="none"/>
        </w:rPr>
        <w:t>3.2</w:t>
      </w:r>
      <w:r>
        <w:rPr>
          <w:rFonts w:hint="eastAsia" w:ascii="仿宋" w:hAnsi="仿宋" w:eastAsia="仿宋" w:cs="宋体"/>
          <w:sz w:val="30"/>
          <w:szCs w:val="30"/>
          <w:highlight w:val="none"/>
          <w:lang w:val="en-US" w:eastAsia="zh-CN"/>
        </w:rPr>
        <w:t>乙方涉及采取债务减免、资产转让（含单项资产转让和打包资产转让）、债务重组、以物抵债（抵债资产处置）、行使表决权、代偿免保等方式处置委托资产的，处置方案需报甲方审批；采取本息清偿的方式处置委托资产的，处置方案由乙方自行审批。乙方在经甲方书面同意后，可采取诉讼清收方式（包括但不限于一般民事诉讼、申请仲裁、督促程序、实现担保物权等）处置委托资产，但是处置过程中如需通过调解、和解需放弃全部或部分诉讼权利、申请执行终结、申请破产等方式进行处置时，处置方案需报甲方审批。</w:t>
      </w:r>
    </w:p>
    <w:p>
      <w:pPr>
        <w:spacing w:line="520" w:lineRule="exact"/>
        <w:ind w:firstLine="600" w:firstLineChars="200"/>
        <w:rPr>
          <w:rFonts w:hint="eastAsia" w:ascii="仿宋" w:hAnsi="仿宋" w:eastAsia="仿宋" w:cs="宋体"/>
          <w:sz w:val="30"/>
          <w:szCs w:val="30"/>
          <w:highlight w:val="none"/>
        </w:rPr>
      </w:pPr>
      <w:r>
        <w:rPr>
          <w:rFonts w:hint="eastAsia" w:ascii="仿宋" w:hAnsi="仿宋" w:eastAsia="仿宋" w:cs="宋体"/>
          <w:sz w:val="30"/>
          <w:szCs w:val="30"/>
          <w:highlight w:val="none"/>
        </w:rPr>
        <w:t>3.3 乙方应将相关方案（包括但不限于评估报告、处置方案申请报告）报送甲方审批，甲方原则上应该在</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个工作日内向乙方书面反馈对相关方案及清收处置价格等事项的明确意见，对拟处置价格有异议的，应当陈述理由，并在乙方价格之上给出甲方认可的拟清收处置价格。乙方清收处置方案中的拟清收处置价格要充分考虑甲方的意见，在与甲方充分协商后确定最终执行方案。</w:t>
      </w:r>
      <w:r>
        <w:rPr>
          <w:rFonts w:hint="eastAsia" w:ascii="仿宋" w:hAnsi="仿宋" w:eastAsia="仿宋" w:cs="宋体"/>
          <w:sz w:val="30"/>
          <w:szCs w:val="30"/>
          <w:highlight w:val="none"/>
          <w:lang w:eastAsia="zh-CN"/>
        </w:rPr>
        <w:t>如</w:t>
      </w:r>
      <w:r>
        <w:rPr>
          <w:rFonts w:hint="eastAsia" w:ascii="仿宋" w:hAnsi="仿宋" w:eastAsia="仿宋" w:cs="宋体"/>
          <w:sz w:val="30"/>
          <w:szCs w:val="30"/>
          <w:highlight w:val="none"/>
        </w:rPr>
        <w:t>甲方未在</w:t>
      </w:r>
      <w:r>
        <w:rPr>
          <w:rFonts w:hint="eastAsia" w:ascii="仿宋" w:hAnsi="仿宋" w:eastAsia="仿宋" w:cs="宋体"/>
          <w:sz w:val="30"/>
          <w:szCs w:val="30"/>
          <w:highlight w:val="none"/>
          <w:lang w:val="en-US" w:eastAsia="zh-CN"/>
        </w:rPr>
        <w:t xml:space="preserve">  </w:t>
      </w:r>
      <w:bookmarkStart w:id="0" w:name="_GoBack"/>
      <w:bookmarkEnd w:id="0"/>
      <w:r>
        <w:rPr>
          <w:rFonts w:hint="eastAsia" w:ascii="仿宋" w:hAnsi="仿宋" w:eastAsia="仿宋" w:cs="宋体"/>
          <w:sz w:val="30"/>
          <w:szCs w:val="30"/>
          <w:highlight w:val="none"/>
        </w:rPr>
        <w:t>个工作日内</w:t>
      </w:r>
      <w:r>
        <w:rPr>
          <w:rFonts w:hint="eastAsia" w:ascii="仿宋" w:hAnsi="仿宋" w:eastAsia="仿宋" w:cs="宋体"/>
          <w:sz w:val="30"/>
          <w:szCs w:val="30"/>
          <w:highlight w:val="none"/>
          <w:lang w:eastAsia="zh-CN"/>
        </w:rPr>
        <w:t>向乙方书面</w:t>
      </w:r>
      <w:r>
        <w:rPr>
          <w:rFonts w:hint="eastAsia" w:ascii="仿宋" w:hAnsi="仿宋" w:eastAsia="仿宋" w:cs="宋体"/>
          <w:sz w:val="30"/>
          <w:szCs w:val="30"/>
          <w:highlight w:val="none"/>
        </w:rPr>
        <w:t>反馈</w:t>
      </w:r>
      <w:r>
        <w:rPr>
          <w:rFonts w:hint="eastAsia" w:ascii="仿宋" w:hAnsi="仿宋" w:eastAsia="仿宋" w:cs="宋体"/>
          <w:sz w:val="30"/>
          <w:szCs w:val="30"/>
          <w:highlight w:val="none"/>
          <w:lang w:eastAsia="zh-CN"/>
        </w:rPr>
        <w:t>，由此造成的损失及不利后果由甲方自行承担。</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甲方不同意乙方报送方案且无法提出有效意见或有效清收处置方案的，应收回该资产的委托权，由甲方自行处理。该情形下，该资产按乙方提报方案预计的现金回收额（不含抵债资产或其他权益后续变现后的回收金额）计入整个资产包的现金回收额，于委托期限到期前最后一个结算期用于核算双方资产包清收目标和清收超额收益分配。</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3.4 在委托处置期间，甲方对部分委托资产有特别处置安排的，在与乙方协商一致的前提下，双方可以对该资产处置方案、收益分配、清收目标及考核目标计算等进行统筹安排。甲方在形成清收处置方案过程中，应充分考虑乙方意见或对比乙方形成的清收处置方案。</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第四条 委托处置费用</w:t>
      </w:r>
    </w:p>
    <w:p>
      <w:pPr>
        <w:keepNext w:val="0"/>
        <w:keepLines w:val="0"/>
        <w:widowControl/>
        <w:suppressLineNumbers w:val="0"/>
        <w:spacing w:before="0" w:beforeAutospacing="0" w:after="0" w:afterAutospacing="0"/>
        <w:ind w:left="0" w:right="0" w:firstLine="640"/>
        <w:jc w:val="both"/>
        <w:rPr>
          <w:rFonts w:hint="default" w:ascii="Times New Roman" w:hAnsi="Times New Roman" w:cs="Times New Roman"/>
          <w:i w:val="0"/>
          <w:iCs w:val="0"/>
          <w:caps w:val="0"/>
          <w:color w:val="000000"/>
          <w:spacing w:val="0"/>
          <w:sz w:val="21"/>
          <w:szCs w:val="21"/>
          <w:highlight w:val="none"/>
        </w:rPr>
      </w:pPr>
      <w:r>
        <w:rPr>
          <w:rFonts w:hint="eastAsia" w:ascii="仿宋" w:hAnsi="仿宋" w:eastAsia="仿宋" w:cs="宋体"/>
          <w:sz w:val="30"/>
          <w:szCs w:val="30"/>
          <w:highlight w:val="none"/>
          <w:lang w:val="en-US" w:eastAsia="zh-CN"/>
        </w:rPr>
        <w:t>4.1委托处置期间，为管理和处置标的资产而产生的费用包括但不限于乙方人员差旅费、交通费、通讯费、工资薪酬、营销费用及其他管理费用由乙方自行承担。</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lang w:val="en-US" w:eastAsia="zh-CN"/>
        </w:rPr>
        <w:t>4.2委托期限内，为实现委托债权而发生的清收处置费用由甲方支付，包括但不限于评估费、过户费、诉讼费（或仲裁费）、保全费、执行费、公告费、拍卖费、律师代理费</w:t>
      </w:r>
      <w:r>
        <w:rPr>
          <w:rFonts w:hint="eastAsia" w:ascii="仿宋_GB2312" w:hAnsi="Times New Roman" w:eastAsia="仿宋_GB2312" w:cs="仿宋_GB2312"/>
          <w:i w:val="0"/>
          <w:iCs w:val="0"/>
          <w:caps w:val="0"/>
          <w:snapToGrid w:val="0"/>
          <w:color w:val="000000"/>
          <w:spacing w:val="0"/>
          <w:kern w:val="0"/>
          <w:sz w:val="32"/>
          <w:szCs w:val="32"/>
          <w:highlight w:val="none"/>
          <w:lang w:val="en-US" w:eastAsia="zh-CN" w:bidi="ar"/>
        </w:rPr>
        <w:t>等，</w:t>
      </w:r>
      <w:r>
        <w:rPr>
          <w:rFonts w:hint="eastAsia" w:ascii="仿宋" w:hAnsi="仿宋" w:eastAsia="仿宋" w:cs="宋体"/>
          <w:sz w:val="30"/>
          <w:szCs w:val="30"/>
          <w:highlight w:val="none"/>
          <w:lang w:val="en-US" w:eastAsia="zh-CN"/>
        </w:rPr>
        <w:t>其中因资产处置需聘用律师事务所、评估所等中介机构时，乙方可向甲方推荐拟聘用机构，执行甲方相关费用标准。</w:t>
      </w:r>
    </w:p>
    <w:p>
      <w:pPr>
        <w:spacing w:line="520" w:lineRule="exact"/>
        <w:ind w:firstLine="600" w:firstLineChars="200"/>
        <w:rPr>
          <w:rFonts w:hint="eastAsia" w:ascii="仿宋" w:hAnsi="仿宋" w:eastAsia="仿宋" w:cs="宋体"/>
          <w:sz w:val="30"/>
          <w:szCs w:val="30"/>
          <w:highlight w:val="none"/>
        </w:rPr>
      </w:pPr>
      <w:r>
        <w:rPr>
          <w:rFonts w:hint="eastAsia" w:ascii="仿宋" w:hAnsi="仿宋" w:eastAsia="仿宋" w:cs="宋体"/>
          <w:sz w:val="30"/>
          <w:szCs w:val="30"/>
          <w:highlight w:val="none"/>
        </w:rPr>
        <w:t>4.</w:t>
      </w:r>
      <w:r>
        <w:rPr>
          <w:rFonts w:hint="eastAsia" w:ascii="仿宋" w:hAnsi="仿宋" w:eastAsia="仿宋" w:cs="宋体"/>
          <w:sz w:val="30"/>
          <w:szCs w:val="30"/>
          <w:highlight w:val="none"/>
          <w:lang w:val="en-US" w:eastAsia="zh-CN"/>
        </w:rPr>
        <w:t>3</w:t>
      </w:r>
      <w:r>
        <w:rPr>
          <w:rFonts w:hint="eastAsia" w:ascii="仿宋" w:hAnsi="仿宋" w:eastAsia="仿宋" w:cs="宋体"/>
          <w:sz w:val="30"/>
          <w:szCs w:val="30"/>
          <w:highlight w:val="none"/>
        </w:rPr>
        <w:t xml:space="preserve"> 由乙方先行垫付</w:t>
      </w:r>
      <w:r>
        <w:rPr>
          <w:rFonts w:hint="eastAsia" w:ascii="仿宋" w:hAnsi="仿宋" w:eastAsia="仿宋" w:cs="宋体"/>
          <w:sz w:val="30"/>
          <w:szCs w:val="30"/>
          <w:highlight w:val="none"/>
          <w:lang w:val="en-US" w:eastAsia="zh-CN"/>
        </w:rPr>
        <w:t>的</w:t>
      </w:r>
      <w:r>
        <w:rPr>
          <w:rFonts w:hint="eastAsia" w:ascii="仿宋" w:hAnsi="仿宋" w:eastAsia="仿宋" w:cs="宋体"/>
          <w:sz w:val="30"/>
          <w:szCs w:val="30"/>
          <w:highlight w:val="none"/>
        </w:rPr>
        <w:t>相关费用，清收回款后甲方根据乙方提供单据凭证进行实时兑付，兑付时限不超过乙方向甲方提交单据及相关材料之日起【</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】日，甲方定期或不定期进行审计核对。</w:t>
      </w:r>
    </w:p>
    <w:p>
      <w:pPr>
        <w:spacing w:line="520" w:lineRule="exact"/>
        <w:ind w:firstLine="600" w:firstLineChars="200"/>
        <w:rPr>
          <w:rFonts w:hint="eastAsia" w:ascii="仿宋" w:hAnsi="仿宋" w:eastAsia="仿宋" w:cs="宋体"/>
          <w:sz w:val="30"/>
          <w:szCs w:val="30"/>
          <w:highlight w:val="none"/>
          <w:lang w:eastAsia="zh-CN"/>
        </w:rPr>
      </w:pPr>
      <w:r>
        <w:rPr>
          <w:rFonts w:hint="eastAsia" w:ascii="仿宋" w:hAnsi="仿宋" w:eastAsia="仿宋" w:cs="宋体"/>
          <w:sz w:val="30"/>
          <w:szCs w:val="30"/>
          <w:highlight w:val="none"/>
          <w:lang w:val="en-US" w:eastAsia="zh-CN"/>
        </w:rPr>
        <w:t>4.4若</w:t>
      </w:r>
      <w:r>
        <w:rPr>
          <w:rFonts w:hint="eastAsia" w:ascii="仿宋" w:hAnsi="仿宋" w:eastAsia="仿宋" w:cs="宋体"/>
          <w:sz w:val="30"/>
          <w:szCs w:val="30"/>
          <w:highlight w:val="none"/>
        </w:rPr>
        <w:t>委托期限到期未续</w:t>
      </w:r>
      <w:r>
        <w:rPr>
          <w:rFonts w:hint="eastAsia" w:ascii="仿宋" w:hAnsi="仿宋" w:eastAsia="仿宋" w:cs="宋体"/>
          <w:sz w:val="30"/>
          <w:szCs w:val="30"/>
          <w:highlight w:val="none"/>
          <w:lang w:eastAsia="zh-CN"/>
        </w:rPr>
        <w:t>，</w:t>
      </w:r>
      <w:r>
        <w:rPr>
          <w:rFonts w:hint="eastAsia" w:ascii="仿宋" w:hAnsi="仿宋" w:eastAsia="仿宋" w:cs="宋体"/>
          <w:sz w:val="30"/>
          <w:szCs w:val="30"/>
          <w:highlight w:val="none"/>
          <w:lang w:val="en-US" w:eastAsia="zh-CN"/>
        </w:rPr>
        <w:t>双方对乙方垫付的委托处置费用进行清算，甲方根据清算结果，于清算完成</w:t>
      </w:r>
      <w:r>
        <w:rPr>
          <w:rFonts w:hint="eastAsia" w:ascii="仿宋" w:hAnsi="仿宋" w:eastAsia="仿宋" w:cs="宋体"/>
          <w:sz w:val="30"/>
          <w:szCs w:val="30"/>
          <w:highlight w:val="none"/>
        </w:rPr>
        <w:t>【</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w:t>
      </w:r>
      <w:r>
        <w:rPr>
          <w:rFonts w:hint="eastAsia" w:ascii="仿宋" w:hAnsi="仿宋" w:eastAsia="仿宋" w:cs="宋体"/>
          <w:sz w:val="30"/>
          <w:szCs w:val="30"/>
          <w:highlight w:val="none"/>
          <w:lang w:val="en-US" w:eastAsia="zh-CN"/>
        </w:rPr>
        <w:t>日内对乙方尚未兑付的相关费用进行全额兑付</w:t>
      </w:r>
      <w:r>
        <w:rPr>
          <w:rFonts w:hint="eastAsia" w:ascii="仿宋" w:hAnsi="仿宋" w:eastAsia="仿宋" w:cs="宋体"/>
          <w:sz w:val="30"/>
          <w:szCs w:val="30"/>
          <w:highlight w:val="none"/>
          <w:lang w:eastAsia="zh-CN"/>
        </w:rPr>
        <w:t>。</w:t>
      </w:r>
    </w:p>
    <w:p>
      <w:pPr>
        <w:spacing w:line="520" w:lineRule="exact"/>
        <w:ind w:firstLine="602" w:firstLineChars="200"/>
        <w:rPr>
          <w:rFonts w:ascii="仿宋" w:hAnsi="仿宋" w:eastAsia="仿宋" w:cs="宋体"/>
          <w:sz w:val="30"/>
          <w:szCs w:val="30"/>
          <w:highlight w:val="none"/>
        </w:rPr>
      </w:pPr>
      <w:r>
        <w:rPr>
          <w:rFonts w:hint="eastAsia" w:ascii="仿宋" w:hAnsi="仿宋" w:eastAsia="仿宋" w:cs="宋体"/>
          <w:b/>
          <w:bCs/>
          <w:sz w:val="30"/>
          <w:szCs w:val="30"/>
          <w:highlight w:val="none"/>
        </w:rPr>
        <w:t>第五条 合作清收分成</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5.1</w:t>
      </w:r>
      <w:r>
        <w:rPr>
          <w:rFonts w:hint="eastAsia" w:ascii="仿宋" w:hAnsi="仿宋" w:eastAsia="仿宋" w:cs="宋体"/>
          <w:color w:val="000000" w:themeColor="text1"/>
          <w:sz w:val="30"/>
          <w:szCs w:val="30"/>
          <w:highlight w:val="none"/>
          <w14:textFill>
            <w14:solidFill>
              <w14:schemeClr w14:val="tx1"/>
            </w14:solidFill>
          </w14:textFill>
        </w:rPr>
        <w:t>委托处置期间，若累计处置回收净现金额超过</w:t>
      </w:r>
      <w:r>
        <w:rPr>
          <w:rFonts w:hint="eastAsia" w:ascii="仿宋" w:hAnsi="仿宋" w:eastAsia="仿宋" w:cs="宋体"/>
          <w:color w:val="000000" w:themeColor="text1"/>
          <w:sz w:val="30"/>
          <w:szCs w:val="30"/>
          <w:highlight w:val="none"/>
          <w:lang w:eastAsia="zh-CN"/>
          <w14:textFill>
            <w14:solidFill>
              <w14:schemeClr w14:val="tx1"/>
            </w14:solidFill>
          </w14:textFill>
        </w:rPr>
        <w:t>整体</w:t>
      </w:r>
      <w:r>
        <w:rPr>
          <w:rFonts w:hint="eastAsia" w:ascii="仿宋" w:hAnsi="仿宋" w:eastAsia="仿宋" w:cs="宋体"/>
          <w:color w:val="000000" w:themeColor="text1"/>
          <w:sz w:val="30"/>
          <w:szCs w:val="30"/>
          <w:highlight w:val="none"/>
          <w14:textFill>
            <w14:solidFill>
              <w14:schemeClr w14:val="tx1"/>
            </w14:solidFill>
          </w14:textFill>
        </w:rPr>
        <w:t>清收目标时，超出部分视为超额收益。在整体委托清收目标完成时或者委托期限届满时，如债权累计回收净现金额大于</w:t>
      </w:r>
      <w:r>
        <w:rPr>
          <w:rFonts w:hint="eastAsia" w:ascii="仿宋" w:hAnsi="仿宋" w:eastAsia="仿宋" w:cs="宋体"/>
          <w:color w:val="000000" w:themeColor="text1"/>
          <w:sz w:val="30"/>
          <w:szCs w:val="30"/>
          <w:highlight w:val="none"/>
          <w:lang w:eastAsia="zh-CN"/>
          <w14:textFill>
            <w14:solidFill>
              <w14:schemeClr w14:val="tx1"/>
            </w14:solidFill>
          </w14:textFill>
        </w:rPr>
        <w:t>整体</w:t>
      </w:r>
      <w:r>
        <w:rPr>
          <w:rFonts w:hint="eastAsia" w:ascii="仿宋" w:hAnsi="仿宋" w:eastAsia="仿宋" w:cs="宋体"/>
          <w:color w:val="000000" w:themeColor="text1"/>
          <w:sz w:val="30"/>
          <w:szCs w:val="30"/>
          <w:highlight w:val="none"/>
          <w14:textFill>
            <w14:solidFill>
              <w14:schemeClr w14:val="tx1"/>
            </w14:solidFill>
          </w14:textFill>
        </w:rPr>
        <w:t>清收目标额，对超过部分乙方按回收净现金额的【</w:t>
      </w:r>
      <w:r>
        <w:rPr>
          <w:rFonts w:hint="eastAsia" w:ascii="仿宋" w:hAnsi="仿宋" w:eastAsia="仿宋" w:cs="宋体"/>
          <w:color w:val="000000" w:themeColor="text1"/>
          <w:sz w:val="30"/>
          <w:szCs w:val="30"/>
          <w:highlight w:val="none"/>
          <w:lang w:val="en-US" w:eastAsia="zh-CN"/>
          <w14:textFill>
            <w14:solidFill>
              <w14:schemeClr w14:val="tx1"/>
            </w14:solidFill>
          </w14:textFill>
        </w:rPr>
        <w:t xml:space="preserve">  </w:t>
      </w:r>
      <w:r>
        <w:rPr>
          <w:rFonts w:hint="eastAsia" w:ascii="仿宋" w:hAnsi="仿宋" w:eastAsia="仿宋" w:cs="宋体"/>
          <w:color w:val="000000" w:themeColor="text1"/>
          <w:sz w:val="30"/>
          <w:szCs w:val="30"/>
          <w:highlight w:val="none"/>
          <w14:textFill>
            <w14:solidFill>
              <w14:schemeClr w14:val="tx1"/>
            </w14:solidFill>
          </w14:textFill>
        </w:rPr>
        <w:t>】%收取合作清收分成</w:t>
      </w:r>
      <w:r>
        <w:rPr>
          <w:rFonts w:hint="eastAsia" w:ascii="仿宋" w:hAnsi="仿宋" w:eastAsia="仿宋" w:cs="宋体"/>
          <w:sz w:val="30"/>
          <w:szCs w:val="30"/>
          <w:highlight w:val="none"/>
        </w:rPr>
        <w:t>。</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5.2 合作清收分成在双方核对一致后，由乙方开具发票，甲方据实兑付。</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第六条 委托处置期间</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自</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年</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月</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日起至</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年</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月</w:t>
      </w:r>
      <w:r>
        <w:rPr>
          <w:rFonts w:hint="eastAsia" w:ascii="仿宋" w:hAnsi="仿宋" w:eastAsia="仿宋" w:cs="宋体"/>
          <w:sz w:val="30"/>
          <w:szCs w:val="30"/>
          <w:highlight w:val="none"/>
          <w:u w:val="single"/>
          <w:lang w:val="en-US" w:eastAsia="zh-CN"/>
        </w:rPr>
        <w:t xml:space="preserve">   </w:t>
      </w:r>
      <w:r>
        <w:rPr>
          <w:rFonts w:hint="eastAsia" w:ascii="仿宋" w:hAnsi="仿宋" w:eastAsia="仿宋" w:cs="宋体"/>
          <w:sz w:val="30"/>
          <w:szCs w:val="30"/>
          <w:highlight w:val="none"/>
        </w:rPr>
        <w:t>日止</w:t>
      </w:r>
      <w:r>
        <w:rPr>
          <w:rFonts w:hint="eastAsia" w:ascii="仿宋" w:hAnsi="仿宋" w:eastAsia="仿宋" w:cs="宋体"/>
          <w:color w:val="000000" w:themeColor="text1"/>
          <w:sz w:val="30"/>
          <w:szCs w:val="30"/>
          <w:highlight w:val="none"/>
          <w14:textFill>
            <w14:solidFill>
              <w14:schemeClr w14:val="tx1"/>
            </w14:solidFill>
          </w14:textFill>
        </w:rPr>
        <w:t>。</w:t>
      </w:r>
    </w:p>
    <w:p>
      <w:pPr>
        <w:spacing w:line="520" w:lineRule="exact"/>
        <w:ind w:firstLine="602" w:firstLineChars="200"/>
        <w:rPr>
          <w:rFonts w:ascii="仿宋" w:hAnsi="仿宋" w:eastAsia="仿宋" w:cs="宋体"/>
          <w:b/>
          <w:sz w:val="30"/>
          <w:szCs w:val="30"/>
          <w:highlight w:val="none"/>
        </w:rPr>
      </w:pPr>
      <w:r>
        <w:rPr>
          <w:rFonts w:hint="eastAsia" w:ascii="仿宋" w:hAnsi="仿宋" w:eastAsia="仿宋" w:cs="宋体"/>
          <w:b/>
          <w:sz w:val="30"/>
          <w:szCs w:val="30"/>
          <w:highlight w:val="none"/>
        </w:rPr>
        <w:t>第七条 委托处置目标清收额和换算系数</w:t>
      </w:r>
    </w:p>
    <w:p>
      <w:pPr>
        <w:spacing w:line="520" w:lineRule="exact"/>
        <w:ind w:firstLine="600" w:firstLineChars="200"/>
        <w:rPr>
          <w:rFonts w:ascii="仿宋" w:hAnsi="仿宋" w:eastAsia="仿宋" w:cs="宋体"/>
          <w:sz w:val="30"/>
          <w:szCs w:val="30"/>
          <w:highlight w:val="none"/>
        </w:rPr>
      </w:pPr>
      <w:r>
        <w:rPr>
          <w:rFonts w:hint="eastAsia" w:ascii="仿宋" w:hAnsi="仿宋" w:eastAsia="仿宋" w:cs="宋体"/>
          <w:sz w:val="30"/>
          <w:szCs w:val="30"/>
          <w:highlight w:val="none"/>
        </w:rPr>
        <w:t>本次委托清收资产目标清收额为</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元（</w:t>
      </w:r>
      <w:r>
        <w:rPr>
          <w:rFonts w:hint="eastAsia" w:ascii="仿宋" w:hAnsi="仿宋" w:eastAsia="仿宋" w:cs="宋体"/>
          <w:sz w:val="30"/>
          <w:szCs w:val="30"/>
          <w:highlight w:val="none"/>
          <w:lang w:val="en-US" w:eastAsia="zh-CN"/>
        </w:rPr>
        <w:t>大写：</w:t>
      </w:r>
      <w:r>
        <w:rPr>
          <w:rFonts w:hint="eastAsia" w:ascii="仿宋" w:hAnsi="仿宋" w:eastAsia="仿宋" w:cs="宋体"/>
          <w:sz w:val="30"/>
          <w:szCs w:val="30"/>
          <w:highlight w:val="none"/>
        </w:rPr>
        <w:t>）。</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换算系数为</w:t>
      </w:r>
      <w:r>
        <w:rPr>
          <w:rFonts w:hint="eastAsia" w:ascii="仿宋" w:hAnsi="仿宋" w:eastAsia="仿宋" w:cs="宋体"/>
          <w:sz w:val="30"/>
          <w:szCs w:val="30"/>
          <w:highlight w:val="none"/>
          <w:lang w:val="en-US" w:eastAsia="zh-CN"/>
        </w:rPr>
        <w:t xml:space="preserve">  </w:t>
      </w:r>
      <w:r>
        <w:rPr>
          <w:rFonts w:hint="eastAsia" w:ascii="仿宋" w:hAnsi="仿宋" w:eastAsia="仿宋" w:cs="宋体"/>
          <w:sz w:val="30"/>
          <w:szCs w:val="30"/>
          <w:highlight w:val="none"/>
        </w:rPr>
        <w:t>%。</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第八条 委托处置期间资金结算划转</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lang w:val="en-US" w:eastAsia="zh-CN"/>
        </w:rPr>
        <w:t>乙方收回的款项以处置回收的现金额为准，取得的非现金资产只能再次处置变现为现金后，方能作为处置回收。乙方应在次月10号之前将截至上月最后一天的全部清收回款划付至甲方指定账户</w:t>
      </w:r>
      <w:r>
        <w:rPr>
          <w:rFonts w:hint="eastAsia" w:ascii="仿宋" w:hAnsi="仿宋" w:eastAsia="仿宋" w:cs="宋体"/>
          <w:sz w:val="30"/>
          <w:szCs w:val="30"/>
          <w:highlight w:val="none"/>
        </w:rPr>
        <w:t>，甲方收款账户如下：</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户名：</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 xml:space="preserve">账号：  </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开户行：</w:t>
      </w:r>
      <w:r>
        <w:rPr>
          <w:rFonts w:hint="eastAsia" w:ascii="仿宋" w:hAnsi="仿宋" w:eastAsia="仿宋" w:cs="宋体"/>
          <w:sz w:val="30"/>
          <w:szCs w:val="30"/>
          <w:highlight w:val="none"/>
          <w:lang w:eastAsia="zh-CN"/>
        </w:rPr>
        <w:t>、</w:t>
      </w:r>
      <w:r>
        <w:rPr>
          <w:rFonts w:hint="eastAsia" w:ascii="仿宋" w:hAnsi="仿宋" w:eastAsia="仿宋" w:cs="宋体"/>
          <w:sz w:val="30"/>
          <w:szCs w:val="30"/>
          <w:highlight w:val="none"/>
        </w:rPr>
        <w:t xml:space="preserve">行号： </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乙方收款账户如下：</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户名：</w:t>
      </w:r>
    </w:p>
    <w:p>
      <w:pPr>
        <w:spacing w:line="520" w:lineRule="exact"/>
        <w:ind w:firstLine="588"/>
        <w:rPr>
          <w:rFonts w:hint="default" w:ascii="仿宋" w:hAnsi="仿宋" w:eastAsia="仿宋" w:cs="宋体"/>
          <w:sz w:val="30"/>
          <w:szCs w:val="30"/>
          <w:highlight w:val="none"/>
          <w:lang w:val="en-US" w:eastAsia="zh-CN"/>
        </w:rPr>
      </w:pPr>
      <w:r>
        <w:rPr>
          <w:rFonts w:hint="eastAsia" w:ascii="仿宋" w:hAnsi="仿宋" w:eastAsia="仿宋" w:cs="宋体"/>
          <w:sz w:val="30"/>
          <w:szCs w:val="30"/>
          <w:highlight w:val="none"/>
        </w:rPr>
        <w:t>账号：</w:t>
      </w:r>
    </w:p>
    <w:p>
      <w:pPr>
        <w:spacing w:line="520" w:lineRule="exact"/>
        <w:ind w:firstLine="588"/>
        <w:rPr>
          <w:rFonts w:hint="eastAsia" w:ascii="仿宋" w:hAnsi="仿宋" w:eastAsia="仿宋" w:cs="宋体"/>
          <w:sz w:val="30"/>
          <w:szCs w:val="30"/>
          <w:highlight w:val="none"/>
          <w:lang w:eastAsia="zh-CN"/>
        </w:rPr>
      </w:pPr>
      <w:r>
        <w:rPr>
          <w:rFonts w:hint="eastAsia" w:ascii="仿宋" w:hAnsi="仿宋" w:eastAsia="仿宋" w:cs="宋体"/>
          <w:sz w:val="30"/>
          <w:szCs w:val="30"/>
          <w:highlight w:val="none"/>
        </w:rPr>
        <w:t>开户行：</w:t>
      </w:r>
      <w:r>
        <w:rPr>
          <w:rFonts w:hint="eastAsia" w:ascii="仿宋" w:hAnsi="仿宋" w:eastAsia="仿宋" w:cs="宋体"/>
          <w:sz w:val="30"/>
          <w:szCs w:val="30"/>
          <w:highlight w:val="none"/>
          <w:lang w:eastAsia="zh-CN"/>
        </w:rPr>
        <w:t>、行号：</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第九条 委托处置资产档案管理</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9.1委托处置期间，债权所涉相关档案由甲方保管</w:t>
      </w:r>
      <w:r>
        <w:rPr>
          <w:rFonts w:hint="eastAsia" w:ascii="仿宋" w:hAnsi="仿宋" w:eastAsia="仿宋" w:cs="宋体"/>
          <w:sz w:val="30"/>
          <w:szCs w:val="30"/>
          <w:highlight w:val="none"/>
          <w:lang w:eastAsia="zh-CN"/>
        </w:rPr>
        <w:t>，</w:t>
      </w:r>
      <w:r>
        <w:rPr>
          <w:rFonts w:hint="eastAsia" w:ascii="仿宋" w:hAnsi="仿宋" w:eastAsia="仿宋" w:cs="宋体"/>
          <w:sz w:val="30"/>
          <w:szCs w:val="30"/>
          <w:highlight w:val="none"/>
          <w:lang w:val="en-US" w:eastAsia="zh-CN"/>
        </w:rPr>
        <w:t>乙方应向甲方交付完毕所有债权资料。若乙方在清收处置过程中确有必要提供受托处置债权的档案资料原件或相关证明材料时，甲方予以配合。</w:t>
      </w:r>
    </w:p>
    <w:p>
      <w:pPr>
        <w:spacing w:line="520" w:lineRule="exact"/>
        <w:ind w:firstLine="588"/>
        <w:rPr>
          <w:rFonts w:ascii="仿宋" w:hAnsi="仿宋" w:eastAsia="仿宋" w:cs="宋体"/>
          <w:sz w:val="30"/>
          <w:szCs w:val="30"/>
          <w:highlight w:val="none"/>
        </w:rPr>
      </w:pPr>
      <w:r>
        <w:rPr>
          <w:rFonts w:ascii="仿宋" w:hAnsi="仿宋" w:eastAsia="仿宋" w:cs="宋体"/>
          <w:sz w:val="30"/>
          <w:szCs w:val="30"/>
          <w:highlight w:val="none"/>
        </w:rPr>
        <w:t>9.2乙方应及时将处置清收过程</w:t>
      </w:r>
      <w:r>
        <w:rPr>
          <w:rFonts w:hint="eastAsia" w:ascii="仿宋" w:hAnsi="仿宋" w:eastAsia="仿宋" w:cs="宋体"/>
          <w:color w:val="000000" w:themeColor="text1"/>
          <w:sz w:val="30"/>
          <w:szCs w:val="30"/>
          <w:highlight w:val="none"/>
          <w14:textFill>
            <w14:solidFill>
              <w14:schemeClr w14:val="tx1"/>
            </w14:solidFill>
          </w14:textFill>
        </w:rPr>
        <w:t>中</w:t>
      </w:r>
      <w:r>
        <w:rPr>
          <w:rFonts w:hint="eastAsia" w:ascii="仿宋" w:hAnsi="仿宋" w:eastAsia="仿宋" w:cs="宋体"/>
          <w:sz w:val="30"/>
          <w:szCs w:val="30"/>
          <w:highlight w:val="none"/>
        </w:rPr>
        <w:t>获得的相关法律、权属、协议等重要文件资料原件移交甲方。</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第十条 委托处置终止</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10.1委托财产清收完毕或委托期限到期未续，本次委托处置终止。</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10.2委托处置终止时，双方对委托资产进行清算，现金部分按约定划转给双方，</w:t>
      </w:r>
      <w:r>
        <w:rPr>
          <w:rFonts w:hint="eastAsia" w:ascii="仿宋" w:hAnsi="仿宋" w:eastAsia="仿宋" w:cs="宋体"/>
          <w:color w:val="000000" w:themeColor="text1"/>
          <w:sz w:val="30"/>
          <w:szCs w:val="30"/>
          <w:highlight w:val="none"/>
          <w14:textFill>
            <w14:solidFill>
              <w14:schemeClr w14:val="tx1"/>
            </w14:solidFill>
          </w14:textFill>
        </w:rPr>
        <w:t>剩余资产返还甲方</w:t>
      </w:r>
      <w:r>
        <w:rPr>
          <w:rFonts w:hint="eastAsia" w:ascii="仿宋" w:hAnsi="仿宋" w:eastAsia="仿宋" w:cs="宋体"/>
          <w:sz w:val="30"/>
          <w:szCs w:val="30"/>
          <w:highlight w:val="none"/>
        </w:rPr>
        <w:t>。</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第十一条 双方权利及义务</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11.1甲方有权依照本协议的约定收取回收的处置款项。</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 xml:space="preserve">11.2甲方有权了解乙方管理及处置工作的进展情况，每半年乙方需向甲方提交受托资产处置情况报告，甲方对乙方的债权管理及处置工作进行监督和检查，提出意见和建议。 </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11.3甲方应为乙方管理及处置标的资产提供必要之协助。</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11.4乙方有权依本协议授权，对标的资产进行管理和处置，并根据本协议的约定收取受托处置报酬。</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11.5乙方应尽责、勤勉地进行债权管理及处置，不得以任何方式损害甲方利益。</w:t>
      </w:r>
    </w:p>
    <w:p>
      <w:pPr>
        <w:spacing w:line="520" w:lineRule="exact"/>
        <w:ind w:firstLine="588"/>
        <w:rPr>
          <w:rFonts w:hint="eastAsia" w:ascii="仿宋" w:hAnsi="仿宋" w:eastAsia="仿宋" w:cs="宋体"/>
          <w:sz w:val="30"/>
          <w:szCs w:val="30"/>
          <w:highlight w:val="none"/>
        </w:rPr>
      </w:pPr>
      <w:r>
        <w:rPr>
          <w:rFonts w:hint="eastAsia" w:ascii="仿宋" w:hAnsi="仿宋" w:eastAsia="仿宋" w:cs="宋体"/>
          <w:sz w:val="30"/>
          <w:szCs w:val="30"/>
          <w:highlight w:val="none"/>
        </w:rPr>
        <w:t>11.6乙方应当对受托处置资产的法定期间（如诉讼时效及担保时效、诉讼执行等）进行维护，保证其有效性，对查封、冻结、保全等期限、抵质押进行续展维护。因乙方未妥善办理上述事宜而产生的一切责任和损失均由乙方承担，但因不可归责于乙方的事由导致的除外。</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第十二条 保密</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本协议双方应对资产管理和处置所涉及或知悉的对方的文档资料和商业机密予以保密，对一方提供给另一方的有关本协议项下交易的所有重要信息及本协议所含信息予以保密，除根据法律规定，需向相关司法、政府、审计、监管部门披露，以及向服务于本协议项下交易并受保密协议约束的中介机构披露外，未经对方书面同意，不向任何其他方披露此类信息。进行上述披露之前，披露方应通知另一方其拟进行披露及拟披露的内容。未经另一方的事先书面同意，任何一方不得将本协议有关交易情况向新闻媒体予以公开披露或者发表声明。</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第十三条协议生效、变更和解除</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13</w:t>
      </w:r>
      <w:r>
        <w:rPr>
          <w:rFonts w:ascii="仿宋" w:hAnsi="仿宋" w:eastAsia="仿宋" w:cs="宋体"/>
          <w:sz w:val="30"/>
          <w:szCs w:val="30"/>
          <w:highlight w:val="none"/>
        </w:rPr>
        <w:t>.1协议生效</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本协议加盖各方公章后生效。</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13.2变更和解除</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本协议的任何修改、变更或解除，均由本协议双方协商一致，并以书面方式做出。</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第十四条协议争议解决</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因本协议引起或与本协议有关的一切争议，各方均应友好协商解决；如果不能解决的，任何一方均有权向【</w:t>
      </w:r>
      <w:r>
        <w:rPr>
          <w:rFonts w:hint="eastAsia" w:ascii="仿宋" w:hAnsi="仿宋" w:eastAsia="仿宋" w:cs="宋体"/>
          <w:sz w:val="30"/>
          <w:szCs w:val="30"/>
          <w:highlight w:val="none"/>
          <w:lang w:val="en-US" w:eastAsia="zh-CN"/>
        </w:rPr>
        <w:t>甲</w:t>
      </w:r>
      <w:r>
        <w:rPr>
          <w:rFonts w:hint="eastAsia" w:ascii="仿宋" w:hAnsi="仿宋" w:eastAsia="仿宋" w:cs="宋体"/>
          <w:sz w:val="30"/>
          <w:szCs w:val="30"/>
          <w:highlight w:val="none"/>
        </w:rPr>
        <w:t>方所在地】人民法院提起诉讼。</w:t>
      </w: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第十五条 通知与送达</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15.1  本协议约定的以下送达地址适用于本协议相关的各类通知、协议、文书的送达，包括但不限于协议履行期间各类通知、协议等文件的送达，以及协议发生纠纷时相关文件和法律文书的送达，同时包括争议进入仲裁、民事诉讼程序后一审、二审、再审和执行程序及其他程序中相关文件和法律文书的送达。</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（1）甲方确认其有效的送达地址为：(名称、地址、邮编、联系人、联系电话</w:t>
      </w:r>
      <w:r>
        <w:rPr>
          <w:rFonts w:hint="eastAsia" w:ascii="仿宋" w:hAnsi="仿宋" w:eastAsia="仿宋" w:cs="宋体"/>
          <w:sz w:val="30"/>
          <w:szCs w:val="30"/>
          <w:highlight w:val="none"/>
          <w:lang w:eastAsia="zh-CN"/>
        </w:rPr>
        <w:t>、</w:t>
      </w:r>
      <w:r>
        <w:rPr>
          <w:rFonts w:hint="eastAsia" w:ascii="仿宋" w:hAnsi="仿宋" w:eastAsia="仿宋" w:cs="宋体"/>
          <w:sz w:val="30"/>
          <w:szCs w:val="30"/>
          <w:highlight w:val="none"/>
          <w:lang w:val="en-US" w:eastAsia="zh-CN"/>
        </w:rPr>
        <w:t>电子邮箱</w:t>
      </w:r>
      <w:r>
        <w:rPr>
          <w:rFonts w:hint="eastAsia" w:ascii="仿宋" w:hAnsi="仿宋" w:eastAsia="仿宋" w:cs="宋体"/>
          <w:sz w:val="30"/>
          <w:szCs w:val="30"/>
          <w:highlight w:val="none"/>
        </w:rPr>
        <w:t>)</w:t>
      </w:r>
    </w:p>
    <w:p>
      <w:pPr>
        <w:spacing w:line="520" w:lineRule="exact"/>
        <w:ind w:firstLine="588"/>
        <w:rPr>
          <w:rFonts w:hint="eastAsia" w:ascii="仿宋" w:hAnsi="仿宋" w:eastAsia="仿宋" w:cs="宋体"/>
          <w:sz w:val="30"/>
          <w:szCs w:val="30"/>
          <w:highlight w:val="none"/>
        </w:rPr>
      </w:pP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（2）乙方确认其有效的送达地址为：(名称、地址、邮编、联系人、联系电话</w:t>
      </w:r>
      <w:r>
        <w:rPr>
          <w:rFonts w:hint="eastAsia" w:ascii="仿宋" w:hAnsi="仿宋" w:eastAsia="仿宋" w:cs="宋体"/>
          <w:sz w:val="30"/>
          <w:szCs w:val="30"/>
          <w:highlight w:val="none"/>
          <w:lang w:eastAsia="zh-CN"/>
        </w:rPr>
        <w:t>、</w:t>
      </w:r>
      <w:r>
        <w:rPr>
          <w:rFonts w:hint="eastAsia" w:ascii="仿宋" w:hAnsi="仿宋" w:eastAsia="仿宋" w:cs="宋体"/>
          <w:sz w:val="30"/>
          <w:szCs w:val="30"/>
          <w:highlight w:val="none"/>
          <w:lang w:val="en-US" w:eastAsia="zh-CN"/>
        </w:rPr>
        <w:t>电子邮箱</w:t>
      </w:r>
      <w:r>
        <w:rPr>
          <w:rFonts w:hint="eastAsia" w:ascii="仿宋" w:hAnsi="仿宋" w:eastAsia="仿宋" w:cs="宋体"/>
          <w:sz w:val="30"/>
          <w:szCs w:val="30"/>
          <w:highlight w:val="none"/>
        </w:rPr>
        <w:t>)</w:t>
      </w:r>
    </w:p>
    <w:p>
      <w:pPr>
        <w:spacing w:line="520" w:lineRule="exact"/>
        <w:ind w:firstLine="588"/>
        <w:rPr>
          <w:rFonts w:hint="eastAsia" w:ascii="仿宋" w:hAnsi="仿宋" w:eastAsia="仿宋" w:cs="宋体"/>
          <w:sz w:val="30"/>
          <w:szCs w:val="30"/>
          <w:highlight w:val="none"/>
          <w:lang w:eastAsia="zh-CN"/>
        </w:rPr>
      </w:pPr>
    </w:p>
    <w:p>
      <w:pPr>
        <w:spacing w:line="520" w:lineRule="exact"/>
        <w:ind w:firstLine="588"/>
        <w:rPr>
          <w:rFonts w:ascii="仿宋" w:hAnsi="仿宋" w:eastAsia="仿宋" w:cs="宋体"/>
          <w:b/>
          <w:sz w:val="30"/>
          <w:szCs w:val="30"/>
          <w:highlight w:val="none"/>
        </w:rPr>
      </w:pPr>
      <w:r>
        <w:rPr>
          <w:rFonts w:hint="eastAsia" w:ascii="仿宋" w:hAnsi="仿宋" w:eastAsia="仿宋" w:cs="宋体"/>
          <w:b/>
          <w:sz w:val="30"/>
          <w:szCs w:val="30"/>
          <w:highlight w:val="none"/>
        </w:rPr>
        <w:t>第十六条 其他事项</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16</w:t>
      </w:r>
      <w:r>
        <w:rPr>
          <w:rFonts w:ascii="仿宋" w:hAnsi="仿宋" w:eastAsia="仿宋" w:cs="宋体"/>
          <w:sz w:val="30"/>
          <w:szCs w:val="30"/>
          <w:highlight w:val="none"/>
        </w:rPr>
        <w:t>.1</w:t>
      </w:r>
      <w:r>
        <w:rPr>
          <w:rFonts w:hint="eastAsia" w:ascii="仿宋" w:hAnsi="仿宋" w:eastAsia="仿宋" w:cs="宋体"/>
          <w:sz w:val="30"/>
          <w:szCs w:val="30"/>
          <w:highlight w:val="none"/>
        </w:rPr>
        <w:t>本协议签订后履行中未尽事宜由双方另行协商。</w:t>
      </w:r>
    </w:p>
    <w:p>
      <w:pPr>
        <w:spacing w:line="520" w:lineRule="exact"/>
        <w:ind w:firstLine="588"/>
        <w:rPr>
          <w:rFonts w:ascii="仿宋" w:hAnsi="仿宋" w:eastAsia="仿宋" w:cs="宋体"/>
          <w:sz w:val="30"/>
          <w:szCs w:val="30"/>
          <w:highlight w:val="none"/>
        </w:rPr>
      </w:pPr>
      <w:r>
        <w:rPr>
          <w:rFonts w:hint="eastAsia" w:ascii="仿宋" w:hAnsi="仿宋" w:eastAsia="仿宋" w:cs="宋体"/>
          <w:sz w:val="30"/>
          <w:szCs w:val="30"/>
          <w:highlight w:val="none"/>
        </w:rPr>
        <w:t>16</w:t>
      </w:r>
      <w:r>
        <w:rPr>
          <w:rFonts w:ascii="仿宋" w:hAnsi="仿宋" w:eastAsia="仿宋" w:cs="宋体"/>
          <w:sz w:val="30"/>
          <w:szCs w:val="30"/>
          <w:highlight w:val="none"/>
        </w:rPr>
        <w:t>.2</w:t>
      </w:r>
      <w:r>
        <w:rPr>
          <w:rFonts w:hint="eastAsia" w:ascii="仿宋" w:hAnsi="仿宋" w:eastAsia="仿宋" w:cs="宋体"/>
          <w:sz w:val="30"/>
          <w:szCs w:val="30"/>
          <w:highlight w:val="none"/>
        </w:rPr>
        <w:t>本协议一式</w:t>
      </w:r>
      <w:r>
        <w:rPr>
          <w:rFonts w:hint="eastAsia" w:ascii="仿宋" w:hAnsi="仿宋" w:eastAsia="仿宋" w:cs="宋体"/>
          <w:sz w:val="30"/>
          <w:szCs w:val="30"/>
          <w:highlight w:val="none"/>
          <w:lang w:eastAsia="zh-CN"/>
        </w:rPr>
        <w:t>肆</w:t>
      </w:r>
      <w:r>
        <w:rPr>
          <w:rFonts w:hint="eastAsia" w:ascii="仿宋" w:hAnsi="仿宋" w:eastAsia="仿宋" w:cs="宋体"/>
          <w:sz w:val="30"/>
          <w:szCs w:val="30"/>
          <w:highlight w:val="none"/>
        </w:rPr>
        <w:t>份，甲乙双方各执</w:t>
      </w:r>
      <w:r>
        <w:rPr>
          <w:rFonts w:hint="eastAsia" w:ascii="仿宋" w:hAnsi="仿宋" w:eastAsia="仿宋" w:cs="宋体"/>
          <w:sz w:val="30"/>
          <w:szCs w:val="30"/>
          <w:highlight w:val="none"/>
          <w:lang w:eastAsia="zh-CN"/>
        </w:rPr>
        <w:t>贰</w:t>
      </w:r>
      <w:r>
        <w:rPr>
          <w:rFonts w:hint="eastAsia" w:ascii="仿宋" w:hAnsi="仿宋" w:eastAsia="仿宋" w:cs="宋体"/>
          <w:sz w:val="30"/>
          <w:szCs w:val="30"/>
          <w:highlight w:val="none"/>
        </w:rPr>
        <w:t>份，具有同等法律效力。</w:t>
      </w:r>
    </w:p>
    <w:p>
      <w:pPr>
        <w:spacing w:after="0" w:line="240" w:lineRule="auto"/>
        <w:jc w:val="both"/>
        <w:outlineLvl w:val="9"/>
        <w:rPr>
          <w:rFonts w:hint="eastAsia" w:ascii="仿宋" w:hAnsi="仿宋" w:eastAsia="仿宋" w:cs="黑体"/>
          <w:b/>
          <w:bCs/>
          <w:sz w:val="28"/>
          <w:szCs w:val="28"/>
          <w:highlight w:val="none"/>
        </w:rPr>
      </w:pPr>
      <w:r>
        <w:rPr>
          <w:rFonts w:hint="eastAsia" w:ascii="仿宋" w:hAnsi="仿宋" w:eastAsia="仿宋" w:cs="黑体"/>
          <w:b/>
          <w:bCs/>
          <w:sz w:val="28"/>
          <w:szCs w:val="28"/>
          <w:highlight w:val="none"/>
        </w:rPr>
        <w:br w:type="page"/>
      </w:r>
    </w:p>
    <w:p>
      <w:pPr>
        <w:spacing w:after="240" w:line="360" w:lineRule="auto"/>
        <w:jc w:val="left"/>
        <w:outlineLvl w:val="0"/>
        <w:rPr>
          <w:rFonts w:hint="eastAsia" w:ascii="仿宋" w:hAnsi="仿宋" w:eastAsia="仿宋"/>
          <w:b/>
          <w:bCs/>
          <w:sz w:val="28"/>
          <w:szCs w:val="28"/>
          <w:highlight w:val="none"/>
          <w:lang w:eastAsia="zh-CN"/>
        </w:rPr>
      </w:pPr>
      <w:r>
        <w:rPr>
          <w:rFonts w:hint="eastAsia" w:ascii="仿宋" w:hAnsi="仿宋" w:eastAsia="仿宋" w:cs="黑体"/>
          <w:b/>
          <w:bCs/>
          <w:sz w:val="28"/>
          <w:szCs w:val="28"/>
          <w:highlight w:val="none"/>
        </w:rPr>
        <w:t>本页无正文，为编号【</w:t>
      </w:r>
      <w:r>
        <w:rPr>
          <w:rFonts w:hint="eastAsia" w:ascii="仿宋" w:hAnsi="仿宋" w:eastAsia="仿宋" w:cs="宋体"/>
          <w:sz w:val="30"/>
          <w:szCs w:val="30"/>
          <w:highlight w:val="none"/>
          <w:lang w:val="en-US" w:eastAsia="zh-CN"/>
        </w:rPr>
        <w:t xml:space="preserve">                        </w:t>
      </w:r>
      <w:r>
        <w:rPr>
          <w:rFonts w:hint="eastAsia" w:ascii="仿宋" w:hAnsi="仿宋" w:eastAsia="仿宋" w:cs="黑体"/>
          <w:b/>
          <w:bCs/>
          <w:sz w:val="28"/>
          <w:szCs w:val="28"/>
          <w:highlight w:val="none"/>
        </w:rPr>
        <w:t>】的《不良资产委托处置协议》签字页</w:t>
      </w:r>
      <w:r>
        <w:rPr>
          <w:rFonts w:hint="eastAsia" w:ascii="仿宋" w:hAnsi="仿宋" w:eastAsia="仿宋" w:cs="黑体"/>
          <w:b/>
          <w:bCs/>
          <w:sz w:val="28"/>
          <w:szCs w:val="28"/>
          <w:highlight w:val="none"/>
          <w:lang w:eastAsia="zh-CN"/>
        </w:rPr>
        <w:t>。</w:t>
      </w:r>
    </w:p>
    <w:p>
      <w:pPr>
        <w:spacing w:before="120" w:after="120" w:line="360" w:lineRule="auto"/>
        <w:outlineLvl w:val="0"/>
        <w:rPr>
          <w:rFonts w:ascii="仿宋" w:hAnsi="仿宋" w:eastAsia="仿宋"/>
          <w:sz w:val="24"/>
          <w:szCs w:val="24"/>
          <w:highlight w:val="none"/>
        </w:rPr>
      </w:pPr>
    </w:p>
    <w:p>
      <w:pPr>
        <w:tabs>
          <w:tab w:val="left" w:pos="5670"/>
        </w:tabs>
        <w:spacing w:after="240" w:line="360" w:lineRule="auto"/>
        <w:outlineLvl w:val="0"/>
        <w:rPr>
          <w:rFonts w:ascii="仿宋" w:hAnsi="仿宋" w:eastAsia="仿宋" w:cs="宋体"/>
          <w:b/>
          <w:bCs/>
          <w:sz w:val="30"/>
          <w:szCs w:val="30"/>
          <w:highlight w:val="none"/>
        </w:rPr>
      </w:pPr>
      <w:r>
        <w:rPr>
          <w:rFonts w:hint="eastAsia" w:ascii="仿宋" w:hAnsi="仿宋" w:eastAsia="仿宋" w:cs="宋体"/>
          <w:b/>
          <w:bCs/>
          <w:sz w:val="30"/>
          <w:szCs w:val="30"/>
          <w:highlight w:val="none"/>
          <w:lang w:val="en-US" w:eastAsia="zh-CN"/>
        </w:rPr>
        <w:t>甲方</w:t>
      </w:r>
      <w:r>
        <w:rPr>
          <w:rFonts w:hint="eastAsia" w:ascii="仿宋" w:hAnsi="仿宋" w:eastAsia="仿宋" w:cs="宋体"/>
          <w:b/>
          <w:bCs/>
          <w:sz w:val="30"/>
          <w:szCs w:val="30"/>
          <w:highlight w:val="none"/>
        </w:rPr>
        <w:t>（盖章）：</w:t>
      </w:r>
    </w:p>
    <w:p>
      <w:pPr>
        <w:spacing w:before="120" w:after="120" w:line="360" w:lineRule="auto"/>
        <w:outlineLvl w:val="0"/>
        <w:rPr>
          <w:rFonts w:ascii="仿宋" w:hAnsi="仿宋" w:eastAsia="仿宋"/>
          <w:sz w:val="24"/>
          <w:szCs w:val="24"/>
          <w:highlight w:val="none"/>
        </w:rPr>
      </w:pPr>
    </w:p>
    <w:p>
      <w:pPr>
        <w:spacing w:before="120" w:after="120" w:line="360" w:lineRule="auto"/>
        <w:outlineLvl w:val="0"/>
        <w:rPr>
          <w:rFonts w:ascii="仿宋" w:hAnsi="仿宋" w:eastAsia="仿宋"/>
          <w:sz w:val="24"/>
          <w:szCs w:val="24"/>
          <w:highlight w:val="none"/>
        </w:rPr>
      </w:pPr>
    </w:p>
    <w:p>
      <w:pPr>
        <w:spacing w:after="240" w:line="360" w:lineRule="auto"/>
        <w:outlineLvl w:val="0"/>
        <w:rPr>
          <w:rFonts w:ascii="仿宋" w:hAnsi="仿宋" w:eastAsia="仿宋"/>
          <w:sz w:val="24"/>
          <w:szCs w:val="24"/>
          <w:highlight w:val="none"/>
        </w:rPr>
      </w:pPr>
    </w:p>
    <w:p>
      <w:pPr>
        <w:spacing w:after="240" w:line="360" w:lineRule="auto"/>
        <w:outlineLvl w:val="0"/>
        <w:rPr>
          <w:rFonts w:ascii="仿宋" w:hAnsi="仿宋" w:eastAsia="仿宋"/>
          <w:sz w:val="24"/>
          <w:szCs w:val="24"/>
          <w:highlight w:val="none"/>
        </w:rPr>
      </w:pPr>
    </w:p>
    <w:p>
      <w:pPr>
        <w:spacing w:after="240" w:line="360" w:lineRule="auto"/>
        <w:outlineLvl w:val="0"/>
        <w:rPr>
          <w:rFonts w:ascii="仿宋" w:hAnsi="仿宋" w:eastAsia="仿宋"/>
          <w:sz w:val="24"/>
          <w:szCs w:val="24"/>
          <w:highlight w:val="none"/>
        </w:rPr>
      </w:pPr>
      <w:r>
        <w:rPr>
          <w:rFonts w:hint="eastAsia" w:ascii="仿宋" w:hAnsi="仿宋" w:eastAsia="仿宋" w:cs="黑体"/>
          <w:sz w:val="24"/>
          <w:szCs w:val="24"/>
          <w:highlight w:val="none"/>
        </w:rPr>
        <w:t>日期：</w:t>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p>
    <w:p>
      <w:pPr>
        <w:spacing w:after="240" w:line="360" w:lineRule="auto"/>
        <w:outlineLvl w:val="0"/>
        <w:rPr>
          <w:rFonts w:ascii="仿宋" w:hAnsi="仿宋" w:eastAsia="仿宋"/>
          <w:sz w:val="24"/>
          <w:szCs w:val="24"/>
          <w:highlight w:val="none"/>
        </w:rPr>
      </w:pPr>
    </w:p>
    <w:p>
      <w:pPr>
        <w:spacing w:after="240" w:line="360" w:lineRule="auto"/>
        <w:outlineLvl w:val="0"/>
        <w:rPr>
          <w:rFonts w:ascii="仿宋" w:hAnsi="仿宋" w:eastAsia="仿宋"/>
          <w:sz w:val="24"/>
          <w:szCs w:val="24"/>
          <w:highlight w:val="none"/>
        </w:rPr>
      </w:pPr>
    </w:p>
    <w:p>
      <w:pPr>
        <w:spacing w:after="240" w:line="360" w:lineRule="auto"/>
        <w:outlineLvl w:val="0"/>
        <w:rPr>
          <w:rFonts w:ascii="仿宋" w:hAnsi="仿宋" w:eastAsia="仿宋"/>
          <w:sz w:val="24"/>
          <w:szCs w:val="24"/>
          <w:highlight w:val="none"/>
        </w:rPr>
      </w:pPr>
    </w:p>
    <w:p>
      <w:pPr>
        <w:spacing w:after="240" w:line="360" w:lineRule="auto"/>
        <w:outlineLvl w:val="0"/>
        <w:rPr>
          <w:rFonts w:hint="eastAsia" w:ascii="仿宋" w:hAnsi="仿宋" w:eastAsia="仿宋" w:cs="宋体"/>
          <w:b/>
          <w:bCs/>
          <w:sz w:val="30"/>
          <w:szCs w:val="30"/>
          <w:highlight w:val="none"/>
          <w:lang w:eastAsia="zh-CN"/>
        </w:rPr>
      </w:pPr>
      <w:r>
        <w:rPr>
          <w:rFonts w:hint="eastAsia" w:ascii="仿宋" w:hAnsi="仿宋" w:eastAsia="仿宋" w:cs="宋体"/>
          <w:b/>
          <w:bCs/>
          <w:sz w:val="30"/>
          <w:szCs w:val="30"/>
          <w:highlight w:val="none"/>
        </w:rPr>
        <w:t>乙方（盖章）：</w:t>
      </w:r>
    </w:p>
    <w:p>
      <w:pPr>
        <w:spacing w:after="120" w:line="360" w:lineRule="auto"/>
        <w:rPr>
          <w:rFonts w:ascii="仿宋" w:hAnsi="仿宋" w:eastAsia="仿宋"/>
          <w:sz w:val="24"/>
          <w:szCs w:val="24"/>
          <w:highlight w:val="none"/>
        </w:rPr>
      </w:pPr>
    </w:p>
    <w:p>
      <w:pPr>
        <w:spacing w:line="360" w:lineRule="auto"/>
        <w:rPr>
          <w:rFonts w:ascii="仿宋" w:hAnsi="仿宋" w:eastAsia="仿宋"/>
          <w:sz w:val="24"/>
          <w:szCs w:val="24"/>
          <w:highlight w:val="none"/>
        </w:rPr>
      </w:pPr>
    </w:p>
    <w:p>
      <w:pPr>
        <w:spacing w:line="360" w:lineRule="auto"/>
        <w:rPr>
          <w:rFonts w:ascii="仿宋" w:hAnsi="仿宋" w:eastAsia="仿宋"/>
          <w:sz w:val="24"/>
          <w:szCs w:val="24"/>
          <w:highlight w:val="none"/>
        </w:rPr>
      </w:pPr>
    </w:p>
    <w:p>
      <w:pPr>
        <w:spacing w:line="360" w:lineRule="auto"/>
        <w:rPr>
          <w:rFonts w:ascii="仿宋" w:hAnsi="仿宋" w:eastAsia="仿宋"/>
          <w:sz w:val="24"/>
          <w:szCs w:val="24"/>
          <w:highlight w:val="none"/>
        </w:rPr>
      </w:pPr>
      <w:r>
        <w:rPr>
          <w:rFonts w:hint="eastAsia" w:ascii="仿宋" w:hAnsi="仿宋" w:eastAsia="仿宋" w:cs="黑体"/>
          <w:sz w:val="24"/>
          <w:szCs w:val="24"/>
          <w:highlight w:val="none"/>
        </w:rPr>
        <w:t>日期：</w:t>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r>
        <w:rPr>
          <w:rFonts w:ascii="仿宋" w:hAnsi="仿宋" w:eastAsia="仿宋"/>
          <w:sz w:val="24"/>
          <w:szCs w:val="24"/>
          <w:highlight w:val="none"/>
          <w:u w:val="single"/>
        </w:rPr>
        <w:tab/>
      </w:r>
    </w:p>
    <w:p>
      <w:pPr>
        <w:spacing w:line="520" w:lineRule="exact"/>
        <w:rPr>
          <w:rFonts w:ascii="华文仿宋" w:hAnsi="华文仿宋" w:eastAsia="华文仿宋" w:cs="宋体"/>
          <w:sz w:val="30"/>
          <w:szCs w:val="30"/>
          <w:highlight w:val="none"/>
        </w:rPr>
        <w:sectPr>
          <w:footerReference r:id="rId3" w:type="default"/>
          <w:pgSz w:w="11906" w:h="16838"/>
          <w:pgMar w:top="1440" w:right="1800" w:bottom="1440" w:left="1800" w:header="851" w:footer="992" w:gutter="0"/>
          <w:cols w:space="425" w:num="1"/>
          <w:docGrid w:type="lines" w:linePitch="312" w:charSpace="0"/>
        </w:sectPr>
      </w:pPr>
    </w:p>
    <w:p>
      <w:pPr>
        <w:widowControl/>
        <w:spacing w:line="520" w:lineRule="exact"/>
        <w:jc w:val="left"/>
        <w:rPr>
          <w:rFonts w:hint="eastAsia" w:ascii="宋体" w:hAnsi="宋体"/>
          <w:b/>
          <w:sz w:val="28"/>
          <w:szCs w:val="28"/>
          <w:highlight w:val="none"/>
        </w:rPr>
      </w:pPr>
      <w:r>
        <w:rPr>
          <w:rFonts w:hint="eastAsia" w:ascii="宋体" w:hAnsi="宋体"/>
          <w:b/>
          <w:sz w:val="28"/>
          <w:szCs w:val="28"/>
          <w:highlight w:val="none"/>
        </w:rPr>
        <w:t>附件一：标的资产明细表</w:t>
      </w:r>
    </w:p>
    <w:p>
      <w:pPr>
        <w:pStyle w:val="3"/>
        <w:jc w:val="center"/>
        <w:rPr>
          <w:rFonts w:hint="eastAsia" w:ascii="宋体" w:hAnsi="宋体"/>
          <w:b w:val="0"/>
          <w:bCs/>
          <w:sz w:val="28"/>
          <w:szCs w:val="28"/>
          <w:highlight w:val="none"/>
          <w:lang w:val="en-US" w:eastAsia="zh-CN"/>
        </w:rPr>
      </w:pPr>
      <w:r>
        <w:rPr>
          <w:rFonts w:hint="eastAsia" w:ascii="宋体" w:hAnsi="宋体"/>
          <w:b w:val="0"/>
          <w:bCs/>
          <w:sz w:val="28"/>
          <w:szCs w:val="28"/>
          <w:highlight w:val="none"/>
          <w:lang w:eastAsia="zh-CN"/>
        </w:rPr>
        <w:t>单位：人民币，元</w:t>
      </w:r>
      <w:r>
        <w:rPr>
          <w:rFonts w:hint="eastAsia" w:ascii="宋体" w:hAnsi="宋体"/>
          <w:b w:val="0"/>
          <w:bCs/>
          <w:sz w:val="28"/>
          <w:szCs w:val="28"/>
          <w:highlight w:val="none"/>
          <w:lang w:val="en-US" w:eastAsia="zh-CN"/>
        </w:rPr>
        <w:t xml:space="preserve">     基准日期：    年  月  日</w:t>
      </w:r>
    </w:p>
    <w:tbl>
      <w:tblPr>
        <w:tblStyle w:val="8"/>
        <w:tblW w:w="158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29"/>
        <w:gridCol w:w="3288"/>
        <w:gridCol w:w="1522"/>
        <w:gridCol w:w="1417"/>
        <w:gridCol w:w="1077"/>
        <w:gridCol w:w="6520"/>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 w:hRule="atLeast"/>
          <w:jc w:val="center"/>
        </w:trPr>
        <w:tc>
          <w:tcPr>
            <w:tcW w:w="729" w:type="dxa"/>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bCs w:val="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序号</w:t>
            </w:r>
          </w:p>
        </w:tc>
        <w:tc>
          <w:tcPr>
            <w:tcW w:w="3288"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bCs w:val="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债务人</w:t>
            </w:r>
          </w:p>
        </w:tc>
        <w:tc>
          <w:tcPr>
            <w:tcW w:w="1522"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bCs w:val="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债权本金</w:t>
            </w:r>
          </w:p>
        </w:tc>
        <w:tc>
          <w:tcPr>
            <w:tcW w:w="1417" w:type="dxa"/>
            <w:tcBorders>
              <w:top w:val="single" w:color="000000" w:sz="8" w:space="0"/>
              <w:left w:val="single" w:color="auto" w:sz="4" w:space="0"/>
              <w:bottom w:val="nil"/>
              <w:right w:val="single" w:color="auto" w:sz="4" w:space="0"/>
            </w:tcBorders>
            <w:shd w:val="clear" w:color="auto" w:fill="auto"/>
            <w:vAlign w:val="top"/>
          </w:tcPr>
          <w:p>
            <w:pPr>
              <w:keepNext w:val="0"/>
              <w:keepLines w:val="0"/>
              <w:widowControl/>
              <w:suppressLineNumbers w:val="0"/>
              <w:spacing w:before="0" w:beforeAutospacing="0" w:after="0" w:afterAutospacing="0" w:line="360" w:lineRule="auto"/>
              <w:ind w:left="0" w:right="0" w:firstLine="0" w:firstLineChars="0"/>
              <w:jc w:val="center"/>
              <w:textAlignment w:val="center"/>
              <w:rPr>
                <w:rFonts w:hint="eastAsia" w:ascii="宋体" w:hAnsi="宋体" w:eastAsia="宋体" w:cs="宋体"/>
                <w:b/>
                <w:bCs w:val="0"/>
                <w:color w:val="00000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利息余额</w:t>
            </w:r>
          </w:p>
        </w:tc>
        <w:tc>
          <w:tcPr>
            <w:tcW w:w="1077" w:type="dxa"/>
            <w:tcBorders>
              <w:top w:val="single" w:color="000000" w:sz="8" w:space="0"/>
              <w:left w:val="nil"/>
              <w:bottom w:val="nil"/>
              <w:right w:val="single" w:color="auto" w:sz="4" w:space="0"/>
            </w:tcBorders>
            <w:shd w:val="clear" w:color="auto" w:fill="auto"/>
            <w:vAlign w:val="top"/>
          </w:tcPr>
          <w:p>
            <w:pPr>
              <w:keepNext w:val="0"/>
              <w:keepLines w:val="0"/>
              <w:widowControl/>
              <w:suppressLineNumbers w:val="0"/>
              <w:spacing w:before="0" w:beforeAutospacing="0" w:after="0" w:afterAutospacing="0" w:line="360" w:lineRule="auto"/>
              <w:ind w:left="0" w:right="0" w:firstLine="0" w:firstLineChars="0"/>
              <w:jc w:val="center"/>
              <w:textAlignment w:val="center"/>
              <w:rPr>
                <w:rFonts w:hint="eastAsia" w:ascii="宋体" w:hAnsi="宋体" w:eastAsia="宋体" w:cs="宋体"/>
                <w:b/>
                <w:bCs w:val="0"/>
                <w:color w:val="00000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其他债权</w:t>
            </w:r>
          </w:p>
        </w:tc>
        <w:tc>
          <w:tcPr>
            <w:tcW w:w="6520"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宋体" w:hAnsi="宋体" w:eastAsia="宋体" w:cs="宋体"/>
                <w:b/>
                <w:bCs w:val="0"/>
                <w:color w:val="00000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担保人</w:t>
            </w:r>
          </w:p>
        </w:tc>
        <w:tc>
          <w:tcPr>
            <w:tcW w:w="1294"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
                <w:bCs w:val="0"/>
                <w:kern w:val="0"/>
                <w:sz w:val="21"/>
                <w:szCs w:val="21"/>
                <w:highlight w:val="none"/>
              </w:rPr>
            </w:pPr>
            <w:r>
              <w:rPr>
                <w:rFonts w:hint="eastAsia" w:ascii="宋体" w:hAnsi="宋体" w:eastAsia="宋体" w:cs="宋体"/>
                <w:b/>
                <w:bCs w:val="0"/>
                <w:color w:val="000000"/>
                <w:kern w:val="0"/>
                <w:sz w:val="21"/>
                <w:szCs w:val="21"/>
                <w:highlight w:val="none"/>
                <w:lang w:val="en-US" w:eastAsia="zh-CN" w:bidi="ar"/>
              </w:rPr>
              <w:t>担保物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1</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2</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3</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4</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5</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6</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7</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8</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9</w:t>
            </w:r>
          </w:p>
        </w:tc>
        <w:tc>
          <w:tcPr>
            <w:tcW w:w="3288"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 w:hRule="atLeast"/>
          <w:jc w:val="center"/>
        </w:trPr>
        <w:tc>
          <w:tcPr>
            <w:tcW w:w="729" w:type="dxa"/>
            <w:tcBorders>
              <w:top w:val="single" w:color="000000"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Cs/>
                <w:kern w:val="0"/>
                <w:sz w:val="21"/>
                <w:szCs w:val="21"/>
                <w:highlight w:val="none"/>
              </w:rPr>
            </w:pPr>
            <w:r>
              <w:rPr>
                <w:rFonts w:hint="default" w:ascii="Times New Roman" w:hAnsi="Times New Roman" w:eastAsia="宋体" w:cs="Times New Roman"/>
                <w:bCs/>
                <w:kern w:val="0"/>
                <w:sz w:val="21"/>
                <w:szCs w:val="21"/>
                <w:highlight w:val="none"/>
                <w:lang w:val="en-US" w:eastAsia="zh-CN" w:bidi="ar"/>
              </w:rPr>
              <w:t>10</w:t>
            </w:r>
          </w:p>
        </w:tc>
        <w:tc>
          <w:tcPr>
            <w:tcW w:w="3288" w:type="dxa"/>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522" w:type="dxa"/>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417" w:type="dxa"/>
            <w:tcBorders>
              <w:top w:val="single" w:color="000000" w:sz="4" w:space="0"/>
              <w:left w:val="single" w:color="auto" w:sz="4" w:space="0"/>
              <w:bottom w:val="single" w:color="000000" w:sz="8"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077" w:type="dxa"/>
            <w:tcBorders>
              <w:top w:val="single" w:color="000000" w:sz="4" w:space="0"/>
              <w:left w:val="nil"/>
              <w:bottom w:val="single" w:color="000000" w:sz="8"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6520" w:type="dxa"/>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c>
          <w:tcPr>
            <w:tcW w:w="1294" w:type="dxa"/>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bCs/>
                <w:i w:val="0"/>
                <w:iCs w:val="0"/>
                <w:kern w:val="0"/>
                <w:sz w:val="21"/>
                <w:szCs w:val="21"/>
                <w:highlight w:val="none"/>
              </w:rPr>
            </w:pPr>
          </w:p>
        </w:tc>
      </w:tr>
    </w:tbl>
    <w:p>
      <w:pPr>
        <w:widowControl/>
        <w:spacing w:line="520" w:lineRule="exact"/>
        <w:jc w:val="left"/>
        <w:rPr>
          <w:rFonts w:hint="eastAsia" w:ascii="仿宋" w:hAnsi="仿宋" w:eastAsia="仿宋"/>
          <w:b/>
          <w:sz w:val="28"/>
          <w:szCs w:val="28"/>
          <w:highlight w:val="none"/>
        </w:rPr>
      </w:pPr>
    </w:p>
    <w:p>
      <w:pPr>
        <w:widowControl/>
        <w:spacing w:line="520" w:lineRule="exact"/>
        <w:jc w:val="left"/>
        <w:rPr>
          <w:rFonts w:hint="eastAsia" w:ascii="仿宋" w:hAnsi="仿宋" w:eastAsia="仿宋"/>
          <w:b/>
          <w:sz w:val="28"/>
          <w:szCs w:val="28"/>
          <w:highlight w:val="none"/>
        </w:rPr>
        <w:sectPr>
          <w:pgSz w:w="16838" w:h="11906" w:orient="landscape"/>
          <w:pgMar w:top="567" w:right="567" w:bottom="567" w:left="567" w:header="851" w:footer="992" w:gutter="0"/>
          <w:cols w:space="425" w:num="1"/>
          <w:docGrid w:type="lines" w:linePitch="312" w:charSpace="0"/>
        </w:sectPr>
      </w:pPr>
    </w:p>
    <w:p>
      <w:pPr>
        <w:spacing w:line="540" w:lineRule="exact"/>
        <w:ind w:firstLine="735" w:firstLineChars="350"/>
        <w:rPr>
          <w:rFonts w:hint="eastAsia"/>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1178"/>
    </w:sdtPr>
    <w:sdtContent>
      <w:p>
        <w:pPr>
          <w:pStyle w:val="6"/>
          <w:jc w:val="right"/>
        </w:pPr>
        <w:r>
          <w:fldChar w:fldCharType="begin"/>
        </w:r>
        <w:r>
          <w:instrText xml:space="preserve"> PAGE   \* MERGEFORMAT </w:instrText>
        </w:r>
        <w:r>
          <w:fldChar w:fldCharType="separate"/>
        </w:r>
        <w:r>
          <w:rPr>
            <w:lang w:val="zh-CN"/>
          </w:rPr>
          <w:t>11</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7E375DD00008091" w:val=" "/>
    <w:docVar w:name="commondata" w:val="eyJoZGlkIjoiMzBkYTQzYzFhMWY2YzkzMDc1MjI3ZGQ1ZGQ5YWY4NTQifQ=="/>
  </w:docVars>
  <w:rsids>
    <w:rsidRoot w:val="00172A27"/>
    <w:rsid w:val="00013CC6"/>
    <w:rsid w:val="000257A9"/>
    <w:rsid w:val="000277C0"/>
    <w:rsid w:val="0003053B"/>
    <w:rsid w:val="00036557"/>
    <w:rsid w:val="0007618E"/>
    <w:rsid w:val="000A215E"/>
    <w:rsid w:val="000A258F"/>
    <w:rsid w:val="000A36DC"/>
    <w:rsid w:val="000A73A3"/>
    <w:rsid w:val="000F0638"/>
    <w:rsid w:val="00107D71"/>
    <w:rsid w:val="00124BD6"/>
    <w:rsid w:val="00126A18"/>
    <w:rsid w:val="00141D7B"/>
    <w:rsid w:val="00163247"/>
    <w:rsid w:val="00163DA0"/>
    <w:rsid w:val="00172A27"/>
    <w:rsid w:val="00185BD7"/>
    <w:rsid w:val="00190DD4"/>
    <w:rsid w:val="001A3AF0"/>
    <w:rsid w:val="001D43CC"/>
    <w:rsid w:val="001E522D"/>
    <w:rsid w:val="001F2A27"/>
    <w:rsid w:val="00221023"/>
    <w:rsid w:val="0023092D"/>
    <w:rsid w:val="002471B5"/>
    <w:rsid w:val="00250D9D"/>
    <w:rsid w:val="0025196F"/>
    <w:rsid w:val="0027190A"/>
    <w:rsid w:val="002766B7"/>
    <w:rsid w:val="00290BBF"/>
    <w:rsid w:val="002C28F5"/>
    <w:rsid w:val="002F196F"/>
    <w:rsid w:val="0030616A"/>
    <w:rsid w:val="00316FAC"/>
    <w:rsid w:val="003510AB"/>
    <w:rsid w:val="0036798B"/>
    <w:rsid w:val="00382E5B"/>
    <w:rsid w:val="003846D3"/>
    <w:rsid w:val="003C2607"/>
    <w:rsid w:val="00433B42"/>
    <w:rsid w:val="00472539"/>
    <w:rsid w:val="00484BFF"/>
    <w:rsid w:val="004B0762"/>
    <w:rsid w:val="004B1482"/>
    <w:rsid w:val="004B3EB5"/>
    <w:rsid w:val="004C3500"/>
    <w:rsid w:val="004C35E3"/>
    <w:rsid w:val="004C3F58"/>
    <w:rsid w:val="004C416E"/>
    <w:rsid w:val="004D215D"/>
    <w:rsid w:val="004E0183"/>
    <w:rsid w:val="004F0924"/>
    <w:rsid w:val="004F7840"/>
    <w:rsid w:val="00505202"/>
    <w:rsid w:val="005127D8"/>
    <w:rsid w:val="005162C4"/>
    <w:rsid w:val="0052346B"/>
    <w:rsid w:val="00526ADB"/>
    <w:rsid w:val="00535CED"/>
    <w:rsid w:val="005371C8"/>
    <w:rsid w:val="00546546"/>
    <w:rsid w:val="0059164A"/>
    <w:rsid w:val="005961B1"/>
    <w:rsid w:val="005A6654"/>
    <w:rsid w:val="005A75DD"/>
    <w:rsid w:val="005C0C33"/>
    <w:rsid w:val="005D3D7E"/>
    <w:rsid w:val="005F48B9"/>
    <w:rsid w:val="00624EBD"/>
    <w:rsid w:val="006360C1"/>
    <w:rsid w:val="00637309"/>
    <w:rsid w:val="00647A1D"/>
    <w:rsid w:val="00651DF0"/>
    <w:rsid w:val="00674FCA"/>
    <w:rsid w:val="006840A2"/>
    <w:rsid w:val="00693FB9"/>
    <w:rsid w:val="006A1D54"/>
    <w:rsid w:val="006F3DEE"/>
    <w:rsid w:val="00724059"/>
    <w:rsid w:val="00756664"/>
    <w:rsid w:val="00776AFE"/>
    <w:rsid w:val="007835F7"/>
    <w:rsid w:val="007A04D3"/>
    <w:rsid w:val="007A20A0"/>
    <w:rsid w:val="007A2DBC"/>
    <w:rsid w:val="007D03C2"/>
    <w:rsid w:val="00831839"/>
    <w:rsid w:val="00846FDB"/>
    <w:rsid w:val="008C25E8"/>
    <w:rsid w:val="008F2331"/>
    <w:rsid w:val="00927CC6"/>
    <w:rsid w:val="00934B24"/>
    <w:rsid w:val="009717E5"/>
    <w:rsid w:val="009824B6"/>
    <w:rsid w:val="009E05E1"/>
    <w:rsid w:val="00A02FC3"/>
    <w:rsid w:val="00A16F07"/>
    <w:rsid w:val="00A25F0A"/>
    <w:rsid w:val="00A6402A"/>
    <w:rsid w:val="00A71430"/>
    <w:rsid w:val="00A8069A"/>
    <w:rsid w:val="00AD157E"/>
    <w:rsid w:val="00AD3E57"/>
    <w:rsid w:val="00AF7DD5"/>
    <w:rsid w:val="00B1749C"/>
    <w:rsid w:val="00B2283F"/>
    <w:rsid w:val="00B53201"/>
    <w:rsid w:val="00B670C1"/>
    <w:rsid w:val="00B677F5"/>
    <w:rsid w:val="00B76ED9"/>
    <w:rsid w:val="00B81B5A"/>
    <w:rsid w:val="00B930B7"/>
    <w:rsid w:val="00BB219C"/>
    <w:rsid w:val="00BB30AA"/>
    <w:rsid w:val="00BB7CBC"/>
    <w:rsid w:val="00BE459A"/>
    <w:rsid w:val="00BE6EDA"/>
    <w:rsid w:val="00BF0DF8"/>
    <w:rsid w:val="00BF19E7"/>
    <w:rsid w:val="00BF2AF3"/>
    <w:rsid w:val="00C0386E"/>
    <w:rsid w:val="00C117CB"/>
    <w:rsid w:val="00C22D38"/>
    <w:rsid w:val="00C50CA7"/>
    <w:rsid w:val="00C53FC6"/>
    <w:rsid w:val="00C64180"/>
    <w:rsid w:val="00C80E4A"/>
    <w:rsid w:val="00C87DAF"/>
    <w:rsid w:val="00C94CC8"/>
    <w:rsid w:val="00CA534E"/>
    <w:rsid w:val="00CB42B0"/>
    <w:rsid w:val="00CC50CE"/>
    <w:rsid w:val="00CF7F86"/>
    <w:rsid w:val="00D02F24"/>
    <w:rsid w:val="00D0437C"/>
    <w:rsid w:val="00D14CDA"/>
    <w:rsid w:val="00D17559"/>
    <w:rsid w:val="00D17A4E"/>
    <w:rsid w:val="00D42B59"/>
    <w:rsid w:val="00D42FBB"/>
    <w:rsid w:val="00D60E97"/>
    <w:rsid w:val="00D62D35"/>
    <w:rsid w:val="00D76430"/>
    <w:rsid w:val="00D80D79"/>
    <w:rsid w:val="00DA26F7"/>
    <w:rsid w:val="00DA3EFD"/>
    <w:rsid w:val="00DA4234"/>
    <w:rsid w:val="00DA521D"/>
    <w:rsid w:val="00DD6422"/>
    <w:rsid w:val="00DD6E8A"/>
    <w:rsid w:val="00DE2DAA"/>
    <w:rsid w:val="00DE4CAE"/>
    <w:rsid w:val="00DE50C8"/>
    <w:rsid w:val="00E0442D"/>
    <w:rsid w:val="00E070AE"/>
    <w:rsid w:val="00E27E6E"/>
    <w:rsid w:val="00E41E03"/>
    <w:rsid w:val="00E71A44"/>
    <w:rsid w:val="00E75756"/>
    <w:rsid w:val="00E95DB4"/>
    <w:rsid w:val="00EA5687"/>
    <w:rsid w:val="00F02D70"/>
    <w:rsid w:val="00F2645E"/>
    <w:rsid w:val="00F40721"/>
    <w:rsid w:val="00FB0467"/>
    <w:rsid w:val="00FC4AD6"/>
    <w:rsid w:val="00FE2355"/>
    <w:rsid w:val="01885910"/>
    <w:rsid w:val="03B14AEE"/>
    <w:rsid w:val="07C040DF"/>
    <w:rsid w:val="0A6053BC"/>
    <w:rsid w:val="0BDC6B84"/>
    <w:rsid w:val="1154156A"/>
    <w:rsid w:val="11A40CD4"/>
    <w:rsid w:val="127D69E8"/>
    <w:rsid w:val="130143BE"/>
    <w:rsid w:val="14154005"/>
    <w:rsid w:val="144F4060"/>
    <w:rsid w:val="165A4F3D"/>
    <w:rsid w:val="16C04536"/>
    <w:rsid w:val="184C7EA3"/>
    <w:rsid w:val="19935928"/>
    <w:rsid w:val="1BE41404"/>
    <w:rsid w:val="1C051583"/>
    <w:rsid w:val="1C5F19D6"/>
    <w:rsid w:val="1CA62F10"/>
    <w:rsid w:val="1E2535C6"/>
    <w:rsid w:val="1F0F60E6"/>
    <w:rsid w:val="1FD61C0F"/>
    <w:rsid w:val="21A1039B"/>
    <w:rsid w:val="253332BF"/>
    <w:rsid w:val="27BF38A4"/>
    <w:rsid w:val="2B802B27"/>
    <w:rsid w:val="2BE60795"/>
    <w:rsid w:val="2EC11008"/>
    <w:rsid w:val="31355B52"/>
    <w:rsid w:val="32DB07D1"/>
    <w:rsid w:val="33B973CC"/>
    <w:rsid w:val="37D10BCF"/>
    <w:rsid w:val="3A59011B"/>
    <w:rsid w:val="3B86053D"/>
    <w:rsid w:val="3D276F1A"/>
    <w:rsid w:val="3D3C3FF6"/>
    <w:rsid w:val="3D533A1E"/>
    <w:rsid w:val="3FDF778A"/>
    <w:rsid w:val="42872FB6"/>
    <w:rsid w:val="443B110D"/>
    <w:rsid w:val="45755CC4"/>
    <w:rsid w:val="46AE1E02"/>
    <w:rsid w:val="46BE4786"/>
    <w:rsid w:val="46F944A7"/>
    <w:rsid w:val="474C4290"/>
    <w:rsid w:val="47F61E6D"/>
    <w:rsid w:val="49BD7D67"/>
    <w:rsid w:val="4FE57B22"/>
    <w:rsid w:val="500D0F2C"/>
    <w:rsid w:val="504A5737"/>
    <w:rsid w:val="54CA7705"/>
    <w:rsid w:val="54E1517F"/>
    <w:rsid w:val="55017E01"/>
    <w:rsid w:val="56CB72C5"/>
    <w:rsid w:val="5B2A4721"/>
    <w:rsid w:val="5B9C4DA0"/>
    <w:rsid w:val="5C0B13CB"/>
    <w:rsid w:val="5C2A6037"/>
    <w:rsid w:val="5E9E476B"/>
    <w:rsid w:val="5F8E4740"/>
    <w:rsid w:val="60A6081B"/>
    <w:rsid w:val="61E96A9B"/>
    <w:rsid w:val="62675317"/>
    <w:rsid w:val="63432D4E"/>
    <w:rsid w:val="63907D6A"/>
    <w:rsid w:val="66114A92"/>
    <w:rsid w:val="6B093544"/>
    <w:rsid w:val="6D385B2C"/>
    <w:rsid w:val="6E4C585F"/>
    <w:rsid w:val="708D7EFA"/>
    <w:rsid w:val="70E306E9"/>
    <w:rsid w:val="787906CC"/>
    <w:rsid w:val="78A602A6"/>
    <w:rsid w:val="78F44978"/>
    <w:rsid w:val="79340BD1"/>
    <w:rsid w:val="7E6F73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eastAsia="宋体" w:cs="Times New Roman"/>
      <w:sz w:val="20"/>
      <w:szCs w:val="20"/>
    </w:rPr>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4">
    <w:name w:val="annotation text"/>
    <w:basedOn w:val="1"/>
    <w:unhideWhenUsed/>
    <w:qFormat/>
    <w:uiPriority w:val="99"/>
    <w:pPr>
      <w:jc w:val="left"/>
    </w:pPr>
  </w:style>
  <w:style w:type="paragraph" w:styleId="5">
    <w:name w:val="Balloon Text"/>
    <w:basedOn w:val="1"/>
    <w:link w:val="15"/>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semiHidden/>
    <w:unhideWhenUsed/>
    <w:qFormat/>
    <w:uiPriority w:val="99"/>
    <w:rPr>
      <w:color w:val="0000FF"/>
      <w:u w:val="single"/>
    </w:rPr>
  </w:style>
  <w:style w:type="character" w:styleId="11">
    <w:name w:val="annotation reference"/>
    <w:basedOn w:val="9"/>
    <w:unhideWhenUsed/>
    <w:qFormat/>
    <w:uiPriority w:val="99"/>
    <w:rPr>
      <w:sz w:val="21"/>
      <w:szCs w:val="21"/>
    </w:rPr>
  </w:style>
  <w:style w:type="character" w:customStyle="1" w:styleId="12">
    <w:name w:val="页眉 Char"/>
    <w:basedOn w:val="9"/>
    <w:link w:val="7"/>
    <w:qFormat/>
    <w:uiPriority w:val="99"/>
    <w:rPr>
      <w:sz w:val="18"/>
      <w:szCs w:val="18"/>
    </w:rPr>
  </w:style>
  <w:style w:type="character" w:customStyle="1" w:styleId="13">
    <w:name w:val="页脚 Char"/>
    <w:basedOn w:val="9"/>
    <w:link w:val="6"/>
    <w:qFormat/>
    <w:uiPriority w:val="99"/>
    <w:rPr>
      <w:sz w:val="18"/>
      <w:szCs w:val="18"/>
    </w:rPr>
  </w:style>
  <w:style w:type="character" w:customStyle="1" w:styleId="14">
    <w:name w:val="占位符文本1"/>
    <w:basedOn w:val="9"/>
    <w:semiHidden/>
    <w:qFormat/>
    <w:uiPriority w:val="99"/>
    <w:rPr>
      <w:color w:val="808080"/>
    </w:rPr>
  </w:style>
  <w:style w:type="character" w:customStyle="1" w:styleId="15">
    <w:name w:val="批注框文本 Char"/>
    <w:basedOn w:val="9"/>
    <w:link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cebbank</Company>
  <Pages>12</Pages>
  <Words>2172</Words>
  <Characters>2229</Characters>
  <Lines>1</Lines>
  <Paragraphs>1</Paragraphs>
  <TotalTime>40</TotalTime>
  <ScaleCrop>false</ScaleCrop>
  <LinksUpToDate>false</LinksUpToDate>
  <CharactersWithSpaces>2263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2019-05-27T12:42:00Z</dcterms:created>
  <dc:creator>丛储</dc:creator>
  <cp:lastModifiedBy>王楷然</cp:lastModifiedBy>
  <cp:lastPrinted>2025-03-25T01:13:00Z</cp:lastPrinted>
  <dcterms:modified xsi:type="dcterms:W3CDTF">2025-12-23T07:39:56Z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39972B394FEF4DA39B924C21CF5B9572</vt:lpwstr>
  </property>
  <property fmtid="{D5CDD505-2E9C-101B-9397-08002B2CF9AE}" pid="4" name="KSOTemplateDocerSaveRecord">
    <vt:lpwstr>eyJoZGlkIjoiM2YzNjg0YjlhNDhmYzAyZDMwMWUxNTJkNGU4MDg4Y2QiLCJ1c2VySWQiOiI0NDMzOTI3NzEifQ==</vt:lpwstr>
  </property>
</Properties>
</file>