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762B">
      <w:pPr>
        <w:widowControl/>
        <w:jc w:val="center"/>
        <w:rPr>
          <w:rFonts w:hint="eastAsia"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 xml:space="preserve">资产清单 </w:t>
      </w:r>
    </w:p>
    <w:p w14:paraId="126E18E6">
      <w:pPr>
        <w:keepNext w:val="0"/>
        <w:keepLines w:val="0"/>
        <w:widowControl/>
        <w:suppressLineNumbers w:val="0"/>
        <w:wordWrap w:val="0"/>
        <w:jc w:val="righ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基准日：202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>月20日                                           单位：人民币  元</w:t>
      </w:r>
    </w:p>
    <w:tbl>
      <w:tblPr>
        <w:tblStyle w:val="3"/>
        <w:tblW w:w="10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568"/>
        <w:gridCol w:w="1404"/>
        <w:gridCol w:w="1405"/>
        <w:gridCol w:w="1165"/>
        <w:gridCol w:w="3269"/>
        <w:gridCol w:w="1765"/>
      </w:tblGrid>
      <w:tr w14:paraId="291E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01" w:type="dxa"/>
            <w:shd w:val="clear" w:color="auto" w:fill="auto"/>
            <w:noWrap/>
            <w:vAlign w:val="center"/>
          </w:tcPr>
          <w:p w14:paraId="44A6B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 w14:paraId="58798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404" w:type="dxa"/>
            <w:shd w:val="clear" w:color="auto" w:fill="FFFFFF"/>
            <w:noWrap w:val="0"/>
            <w:vAlign w:val="center"/>
          </w:tcPr>
          <w:p w14:paraId="49E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债权本金</w:t>
            </w:r>
          </w:p>
        </w:tc>
        <w:tc>
          <w:tcPr>
            <w:tcW w:w="1405" w:type="dxa"/>
            <w:shd w:val="clear" w:color="auto" w:fill="FFFFFF"/>
            <w:noWrap w:val="0"/>
            <w:vAlign w:val="center"/>
          </w:tcPr>
          <w:p w14:paraId="40A0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债权利息</w:t>
            </w:r>
          </w:p>
        </w:tc>
        <w:tc>
          <w:tcPr>
            <w:tcW w:w="1165" w:type="dxa"/>
            <w:noWrap/>
            <w:vAlign w:val="center"/>
          </w:tcPr>
          <w:p w14:paraId="49D59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其他债权</w:t>
            </w:r>
          </w:p>
        </w:tc>
        <w:tc>
          <w:tcPr>
            <w:tcW w:w="3269" w:type="dxa"/>
            <w:noWrap/>
            <w:vAlign w:val="center"/>
          </w:tcPr>
          <w:p w14:paraId="5783F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担保人</w:t>
            </w:r>
          </w:p>
        </w:tc>
        <w:tc>
          <w:tcPr>
            <w:tcW w:w="1765" w:type="dxa"/>
            <w:noWrap/>
            <w:vAlign w:val="center"/>
          </w:tcPr>
          <w:p w14:paraId="67932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D0D0D"/>
                <w:kern w:val="0"/>
                <w:sz w:val="18"/>
                <w:szCs w:val="18"/>
                <w:u w:val="none"/>
                <w:lang w:val="en-US" w:eastAsia="zh-CN" w:bidi="ar"/>
              </w:rPr>
              <w:t>担保物</w:t>
            </w:r>
          </w:p>
        </w:tc>
      </w:tr>
      <w:tr w14:paraId="14A49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401" w:type="dxa"/>
            <w:noWrap/>
            <w:vAlign w:val="center"/>
          </w:tcPr>
          <w:p w14:paraId="60FBD3BC"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68" w:type="dxa"/>
            <w:noWrap/>
            <w:vAlign w:val="center"/>
          </w:tcPr>
          <w:p w14:paraId="7088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东营市龙翔装饰工程有限责任公司</w:t>
            </w:r>
          </w:p>
        </w:tc>
        <w:tc>
          <w:tcPr>
            <w:tcW w:w="1404" w:type="dxa"/>
            <w:noWrap w:val="0"/>
            <w:vAlign w:val="center"/>
          </w:tcPr>
          <w:p w14:paraId="748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848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119.55</w:t>
            </w:r>
          </w:p>
        </w:tc>
        <w:tc>
          <w:tcPr>
            <w:tcW w:w="1405" w:type="dxa"/>
            <w:noWrap w:val="0"/>
            <w:vAlign w:val="center"/>
          </w:tcPr>
          <w:p w14:paraId="7B8D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,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687.39</w:t>
            </w:r>
          </w:p>
        </w:tc>
        <w:tc>
          <w:tcPr>
            <w:tcW w:w="1165" w:type="dxa"/>
            <w:noWrap/>
            <w:vAlign w:val="center"/>
          </w:tcPr>
          <w:p w14:paraId="785F5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0.00</w:t>
            </w:r>
          </w:p>
        </w:tc>
        <w:tc>
          <w:tcPr>
            <w:tcW w:w="3269" w:type="dxa"/>
            <w:noWrap/>
            <w:vAlign w:val="center"/>
          </w:tcPr>
          <w:p w14:paraId="3095523D"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Times New Roman" w:cs="宋体"/>
                <w:kern w:val="0"/>
                <w:sz w:val="18"/>
                <w:szCs w:val="18"/>
                <w:highlight w:val="none"/>
                <w:lang w:val="en-US" w:eastAsia="zh-CN"/>
              </w:rPr>
              <w:t>关利然、秦丽</w:t>
            </w:r>
            <w:r>
              <w:rPr>
                <w:rFonts w:hint="eastAsia" w:ascii="宋体" w:hAnsi="宋体" w:eastAsia="Times New Roman" w:cs="宋体"/>
                <w:kern w:val="0"/>
                <w:sz w:val="18"/>
                <w:szCs w:val="18"/>
                <w:highlight w:val="none"/>
                <w:lang w:val="en-US" w:eastAsia="zh-CN"/>
              </w:rPr>
              <w:t>、东营市龙翔装饰工程有限责任公司</w:t>
            </w:r>
          </w:p>
        </w:tc>
        <w:tc>
          <w:tcPr>
            <w:tcW w:w="1765" w:type="dxa"/>
            <w:noWrap/>
            <w:vAlign w:val="center"/>
          </w:tcPr>
          <w:p w14:paraId="5EC642C2">
            <w:pPr>
              <w:widowControl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Times New Roman" w:cs="宋体"/>
                <w:kern w:val="0"/>
                <w:sz w:val="18"/>
                <w:szCs w:val="18"/>
                <w:highlight w:val="none"/>
                <w:lang w:val="en-US" w:eastAsia="zh-CN"/>
              </w:rPr>
              <w:t>东营市工业房地产</w:t>
            </w:r>
          </w:p>
        </w:tc>
      </w:tr>
    </w:tbl>
    <w:p w14:paraId="4E730598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注：1.本公告清单仅列示截至基准日的债权本金、利息余额，基准日后债务人和担保人应支付的利息、违约金、相关费用等按照相关合同、生效法律文书及法律法规的规定计算。</w:t>
      </w:r>
    </w:p>
    <w:p w14:paraId="6EF9C9BF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2.若债务人、担保人因各种原因更名、改制、歇业、吊销营业执照或丧失民事主体资格的，请相关承债主体及/或主管部门代为履行义务或履行清算责任。若本清单中担保人名单出现遗漏、笔误的，并不意味着本公司对其担保责任的免除，担保人仍须按合同约定及法律规定履行担保责任。</w:t>
      </w:r>
    </w:p>
    <w:p w14:paraId="62C2086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3.清单中的“担保人”包括保证人、抵押人、出质人。</w:t>
      </w:r>
    </w:p>
    <w:p w14:paraId="3B0EA1D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4.如清单中债务人、债权金额、担保人及担保物等信息与事实不符的，以相关合同、生效法律文书等为准。</w:t>
      </w:r>
    </w:p>
    <w:p w14:paraId="6221BF61">
      <w:pPr>
        <w:pStyle w:val="2"/>
        <w:rPr>
          <w:rFonts w:hint="eastAsia"/>
          <w:lang w:val="en-US" w:eastAsia="zh-CN"/>
        </w:rPr>
      </w:pPr>
    </w:p>
    <w:p w14:paraId="391D2BDE">
      <w:pP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一、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32"/>
          <w:lang w:val="en-US" w:eastAsia="zh-CN"/>
        </w:rPr>
        <w:t>标的债权风险提示及瑕疵披露：</w:t>
      </w:r>
    </w:p>
    <w:p w14:paraId="03575B33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转让方在此声明，对出让标的债权可能存在以下瑕疵、缺陷或风险：</w:t>
      </w:r>
    </w:p>
    <w:p w14:paraId="246B93AE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（一）所竞买资产本身固有不能实现（获得受偿）的风险（比如执行障碍、政策变化无常等），卖方无需就受让的标的债权的实现做出任何保证和承诺；</w:t>
      </w:r>
    </w:p>
    <w:p w14:paraId="17D2815E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（二）所受让的债权是不良债权，主债权本身虽然真实、合法，但可能存在许多微小或重大的瑕疵或缺陷，致使行使权利存在重大困难，或者多支出费用，甚至权利最终无法实现；</w:t>
      </w:r>
    </w:p>
    <w:p w14:paraId="25C9CFF1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（三）所竞买资产的债务人、担保人可能已经破产、注销或已被吊销营业执照；</w:t>
      </w:r>
    </w:p>
    <w:p w14:paraId="06970C40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（四）债权、担保权等丧失诉讼时效，或因未及时提出诉讼主张而导致权利得不到法律保护；</w:t>
      </w:r>
    </w:p>
    <w:p w14:paraId="79067CF1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（五）债权未到履行期，或已经超过诉讼时效，超过保证期间，超过行使担保物权的期限，已经诉讼但却超过申请执行的期限，执行已经终结；</w:t>
      </w:r>
    </w:p>
    <w:p w14:paraId="559B2FA4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（六）担保的设定不符合法律规定，如应办理抵押登记、质押登记、审批手续等而未办理；</w:t>
      </w:r>
    </w:p>
    <w:p w14:paraId="3DECC774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（七）担保物权登记凭证所记载的担保物数量、质量等可能与实际情况不符；</w:t>
      </w:r>
    </w:p>
    <w:p w14:paraId="4FD4EDEA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（八）担保物灭失，或被第三人善意取得，或被第三人占有拒绝返还；</w:t>
      </w:r>
    </w:p>
    <w:p w14:paraId="44C12FFE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（九）前手债权人已经放弃了担保权利，却未披露该权利放弃的事实；</w:t>
      </w:r>
    </w:p>
    <w:p w14:paraId="599CD877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（十）债权存在，但债权证明文件存在瑕疵，如债权资料短少或内容不完善；</w:t>
      </w:r>
    </w:p>
    <w:p w14:paraId="21467429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（十一）因前手债权人、债务人和担保人及其工作人员的行为，导致已经提起的诉讼被中止、终结审理；被中止、终结执行程序；</w:t>
      </w:r>
    </w:p>
    <w:p w14:paraId="483C3CC4">
      <w:pPr>
        <w:rPr>
          <w:rFonts w:hint="eastAsia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十二）本债权项下抵押物所在厂区权属分割办证、分属不同主体，不动产证载边界与实际占地范围不匹配，且场地被拆分抵押，权属关系复杂；保证人名下虽登记有房产、车辆，但均已被其他机构首次查封并设有抵押</w:t>
      </w:r>
      <w:r>
        <w:rPr>
          <w:rFonts w:hint="eastAsia" w:cs="Times New Roman"/>
          <w:sz w:val="24"/>
          <w:szCs w:val="32"/>
          <w:lang w:val="en-US" w:eastAsia="zh-CN"/>
        </w:rPr>
        <w:t>。</w:t>
      </w:r>
    </w:p>
    <w:p w14:paraId="70E1E749">
      <w:pPr>
        <w:rPr>
          <w:rFonts w:hint="default" w:ascii="Times New Roman" w:hAnsi="Times New Roman" w:cs="Times New Roman"/>
          <w:sz w:val="24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32"/>
          <w:lang w:val="en-US" w:eastAsia="zh-CN"/>
        </w:rPr>
        <w:t>（十三）其他方面的瑕疵或缺陷。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54BEF"/>
    <w:rsid w:val="0ECC6B14"/>
    <w:rsid w:val="0FD1256C"/>
    <w:rsid w:val="32416121"/>
    <w:rsid w:val="44FA6A22"/>
    <w:rsid w:val="6BEF1CA0"/>
    <w:rsid w:val="6ECA7E4F"/>
    <w:rsid w:val="7A66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ind w:firstLine="643"/>
      <w:outlineLvl w:val="1"/>
    </w:pPr>
    <w:rPr>
      <w:rFonts w:eastAsia="楷体_GB231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256</Characters>
  <Lines>0</Lines>
  <Paragraphs>0</Paragraphs>
  <TotalTime>7</TotalTime>
  <ScaleCrop>false</ScaleCrop>
  <LinksUpToDate>false</LinksUpToDate>
  <CharactersWithSpaces>310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2025-12-17T07:51:00Z</dcterms:created>
  <dc:creator>panta</dc:creator>
  <cp:lastModifiedBy>王楷然</cp:lastModifiedBy>
  <dcterms:modified xsi:type="dcterms:W3CDTF">2026-06-17T06:43:39Z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eyJoZGlkIjoiZWVjNDUxY2M0MTMzZjM4NWE1N2Q1ZTViY2I5OTVlYzYiLCJ1c2VySWQiOiI0NTUyNDAxNzgifQ==</vt:lpwstr>
  </property>
  <property fmtid="{D5CDD505-2E9C-101B-9397-08002B2CF9AE}" pid="4" name="ICV">
    <vt:lpwstr>3786F4BFCEFB4BF9ADCB1A081643CCE0_12</vt:lpwstr>
  </property>
</Properties>
</file>