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kern w:val="0"/>
          <w:sz w:val="24"/>
          <w:szCs w:val="24"/>
          <w:highlight w:val="none"/>
        </w:rPr>
      </w:pPr>
      <w:bookmarkStart w:id="1" w:name="_GoBack"/>
      <w:bookmarkEnd w:id="1"/>
      <w:r>
        <w:rPr>
          <w:rFonts w:hint="eastAsia" w:ascii="宋体" w:hAnsi="宋体" w:cs="宋体"/>
          <w:b/>
          <w:bCs/>
          <w:kern w:val="0"/>
          <w:sz w:val="24"/>
          <w:szCs w:val="24"/>
          <w:highlight w:val="none"/>
        </w:rPr>
        <w:t>公告资产清单</w:t>
      </w:r>
    </w:p>
    <w:tbl>
      <w:tblPr>
        <w:tblStyle w:val="3"/>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04"/>
        <w:gridCol w:w="1476"/>
        <w:gridCol w:w="1512"/>
        <w:gridCol w:w="1164"/>
        <w:gridCol w:w="152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7" w:type="dxa"/>
            <w:gridSpan w:val="7"/>
            <w:tcBorders>
              <w:tl2br w:val="nil"/>
              <w:tr2bl w:val="nil"/>
            </w:tcBorders>
            <w:vAlign w:val="center"/>
          </w:tcPr>
          <w:p>
            <w:pPr>
              <w:widowControl/>
              <w:rPr>
                <w:rFonts w:hint="eastAsia" w:ascii="宋体" w:hAnsi="宋体" w:eastAsia="宋体" w:cs="宋体"/>
                <w:kern w:val="0"/>
                <w:sz w:val="18"/>
                <w:szCs w:val="18"/>
                <w:highlight w:val="none"/>
              </w:rPr>
            </w:pPr>
            <w:bookmarkStart w:id="0" w:name="OLE_LINK1"/>
            <w:r>
              <w:rPr>
                <w:rFonts w:hint="eastAsia" w:ascii="宋体" w:hAnsi="宋体" w:eastAsia="宋体" w:cs="宋体"/>
                <w:kern w:val="0"/>
                <w:sz w:val="18"/>
                <w:szCs w:val="18"/>
                <w:highlight w:val="none"/>
              </w:rPr>
              <w:t>基准日：</w:t>
            </w:r>
            <w:r>
              <w:rPr>
                <w:rFonts w:hint="eastAsia" w:ascii="宋体" w:hAnsi="宋体" w:eastAsia="宋体" w:cs="宋体"/>
                <w:kern w:val="0"/>
                <w:sz w:val="18"/>
                <w:szCs w:val="18"/>
                <w:highlight w:val="none"/>
                <w:lang w:val="en-US" w:eastAsia="zh-CN"/>
              </w:rPr>
              <w:t>2024年</w:t>
            </w:r>
            <w:r>
              <w:rPr>
                <w:rFonts w:hint="eastAsia" w:ascii="宋体" w:hAnsi="宋体" w:cs="宋体"/>
                <w:kern w:val="0"/>
                <w:sz w:val="18"/>
                <w:szCs w:val="18"/>
                <w:highlight w:val="none"/>
                <w:lang w:val="en-US" w:eastAsia="zh-CN"/>
              </w:rPr>
              <w:t>12</w:t>
            </w:r>
            <w:r>
              <w:rPr>
                <w:rFonts w:hint="eastAsia" w:ascii="宋体" w:hAnsi="宋体" w:eastAsia="宋体" w:cs="宋体"/>
                <w:kern w:val="0"/>
                <w:sz w:val="18"/>
                <w:szCs w:val="18"/>
                <w:highlight w:val="none"/>
                <w:lang w:val="en-US" w:eastAsia="zh-CN"/>
              </w:rPr>
              <w:t>月20日</w:t>
            </w:r>
            <w:r>
              <w:rPr>
                <w:rFonts w:hint="eastAsia" w:ascii="宋体" w:hAnsi="宋体" w:eastAsia="宋体" w:cs="宋体"/>
                <w:kern w:val="0"/>
                <w:sz w:val="18"/>
                <w:szCs w:val="18"/>
                <w:highlight w:val="none"/>
              </w:rPr>
              <w:t xml:space="preserve">                             </w:t>
            </w:r>
            <w:r>
              <w:rPr>
                <w:rFonts w:hint="eastAsia" w:ascii="宋体" w:hAnsi="宋体" w:eastAsia="宋体" w:cs="宋体"/>
                <w:kern w:val="0"/>
                <w:sz w:val="18"/>
                <w:szCs w:val="18"/>
                <w:highlight w:val="none"/>
                <w:lang w:val="en-US" w:eastAsia="zh-CN"/>
              </w:rPr>
              <w:t xml:space="preserve">                              </w:t>
            </w:r>
            <w:r>
              <w:rPr>
                <w:rFonts w:hint="eastAsia" w:ascii="宋体" w:hAnsi="宋体" w:eastAsia="宋体" w:cs="宋体"/>
                <w:kern w:val="0"/>
                <w:sz w:val="18"/>
                <w:szCs w:val="18"/>
                <w:highlight w:val="none"/>
              </w:rPr>
              <w:t xml:space="preserve">货币单位：人民币  </w:t>
            </w:r>
            <w:r>
              <w:rPr>
                <w:rFonts w:hint="eastAsia" w:ascii="宋体" w:hAnsi="宋体" w:eastAsia="宋体" w:cs="宋体"/>
                <w:kern w:val="0"/>
                <w:sz w:val="18"/>
                <w:szCs w:val="18"/>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304" w:type="dxa"/>
            <w:tcBorders>
              <w:tl2br w:val="nil"/>
              <w:tr2bl w:val="nil"/>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债务人名称</w:t>
            </w:r>
          </w:p>
        </w:tc>
        <w:tc>
          <w:tcPr>
            <w:tcW w:w="1476" w:type="dxa"/>
            <w:tcBorders>
              <w:tl2br w:val="nil"/>
              <w:tr2bl w:val="nil"/>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本金</w:t>
            </w:r>
          </w:p>
        </w:tc>
        <w:tc>
          <w:tcPr>
            <w:tcW w:w="1512" w:type="dxa"/>
            <w:tcBorders>
              <w:tl2br w:val="nil"/>
              <w:tr2bl w:val="nil"/>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利息</w:t>
            </w:r>
          </w:p>
        </w:tc>
        <w:tc>
          <w:tcPr>
            <w:tcW w:w="1164" w:type="dxa"/>
            <w:tcBorders>
              <w:tl2br w:val="nil"/>
              <w:tr2bl w:val="nil"/>
            </w:tcBorders>
            <w:vAlign w:val="center"/>
          </w:tcPr>
          <w:p>
            <w:pPr>
              <w:widowControl/>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其他债权</w:t>
            </w:r>
          </w:p>
        </w:tc>
        <w:tc>
          <w:tcPr>
            <w:tcW w:w="1524" w:type="dxa"/>
            <w:tcBorders>
              <w:tl2br w:val="nil"/>
              <w:tr2bl w:val="nil"/>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担保人</w:t>
            </w:r>
          </w:p>
        </w:tc>
        <w:tc>
          <w:tcPr>
            <w:tcW w:w="1701" w:type="dxa"/>
            <w:tcBorders>
              <w:tl2br w:val="nil"/>
              <w:tr2bl w:val="nil"/>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担保物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1304" w:type="dxa"/>
            <w:tcBorders>
              <w:tl2br w:val="nil"/>
              <w:tr2bl w:val="nil"/>
            </w:tcBorders>
            <w:vAlign w:val="center"/>
          </w:tcPr>
          <w:p>
            <w:pPr>
              <w:adjustRightInd w:val="0"/>
              <w:snapToGrid w:val="0"/>
              <w:spacing w:line="240" w:lineRule="auto"/>
              <w:ind w:firstLine="0" w:firstLineChars="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山东省博兴县长虹彩钢有限公司</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 xml:space="preserve">24,131,949.05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 xml:space="preserve">14,438,743.28 </w:t>
            </w:r>
          </w:p>
        </w:tc>
        <w:tc>
          <w:tcPr>
            <w:tcW w:w="1164"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 xml:space="preserve">173,932.00  </w:t>
            </w:r>
          </w:p>
        </w:tc>
        <w:tc>
          <w:tcPr>
            <w:tcW w:w="1524" w:type="dxa"/>
            <w:tcBorders>
              <w:tl2br w:val="nil"/>
              <w:tr2bl w:val="nil"/>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rPr>
              <w:t>山东省博兴县华鲁钢铁有限公司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山东省博兴县长虹钢板有限公司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王永青、张月玲</w:t>
            </w:r>
          </w:p>
        </w:tc>
        <w:tc>
          <w:tcPr>
            <w:tcW w:w="1701" w:type="dxa"/>
            <w:tcBorders>
              <w:tl2br w:val="nil"/>
              <w:tr2bl w:val="nil"/>
            </w:tcBorders>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w:t>
            </w:r>
          </w:p>
        </w:tc>
        <w:tc>
          <w:tcPr>
            <w:tcW w:w="1304" w:type="dxa"/>
            <w:tcBorders>
              <w:tl2br w:val="nil"/>
              <w:tr2bl w:val="nil"/>
            </w:tcBorders>
            <w:vAlign w:val="center"/>
          </w:tcPr>
          <w:p>
            <w:pPr>
              <w:adjustRightInd w:val="0"/>
              <w:snapToGrid w:val="0"/>
              <w:spacing w:line="240" w:lineRule="auto"/>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山东省博兴县名扬新型材料有限公司</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19,910,384.54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13,596,067.17 </w:t>
            </w:r>
          </w:p>
        </w:tc>
        <w:tc>
          <w:tcPr>
            <w:tcW w:w="11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0.00</w:t>
            </w:r>
          </w:p>
        </w:tc>
        <w:tc>
          <w:tcPr>
            <w:tcW w:w="1524" w:type="dxa"/>
            <w:tcBorders>
              <w:tl2br w:val="nil"/>
              <w:tr2bl w:val="nil"/>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rPr>
              <w:t>山东舜鑫达新型建材有限公司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魏长起、魏高氏、魏月军、王金英</w:t>
            </w:r>
            <w:r>
              <w:rPr>
                <w:rFonts w:hint="eastAsia" w:ascii="宋体" w:hAnsi="宋体" w:cs="宋体"/>
                <w:kern w:val="0"/>
                <w:sz w:val="18"/>
                <w:szCs w:val="18"/>
                <w:lang w:eastAsia="zh-CN"/>
              </w:rPr>
              <w:t>、傅明、程何香</w:t>
            </w:r>
          </w:p>
        </w:tc>
        <w:tc>
          <w:tcPr>
            <w:tcW w:w="1701" w:type="dxa"/>
            <w:tcBorders>
              <w:tl2br w:val="nil"/>
              <w:tr2bl w:val="nil"/>
            </w:tcBorders>
            <w:vAlign w:val="center"/>
          </w:tcPr>
          <w:p>
            <w:pPr>
              <w:widowControl/>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3</w:t>
            </w:r>
          </w:p>
        </w:tc>
        <w:tc>
          <w:tcPr>
            <w:tcW w:w="1304" w:type="dxa"/>
            <w:tcBorders>
              <w:tl2br w:val="nil"/>
              <w:tr2bl w:val="nil"/>
            </w:tcBorders>
            <w:vAlign w:val="center"/>
          </w:tcPr>
          <w:p>
            <w:pPr>
              <w:adjustRightInd w:val="0"/>
              <w:snapToGrid w:val="0"/>
              <w:spacing w:line="240" w:lineRule="auto"/>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山东惠民长青木业有限责任公司</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4,745,371.07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4,869,096.44 </w:t>
            </w:r>
          </w:p>
        </w:tc>
        <w:tc>
          <w:tcPr>
            <w:tcW w:w="11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0.00</w:t>
            </w:r>
          </w:p>
        </w:tc>
        <w:tc>
          <w:tcPr>
            <w:tcW w:w="1524" w:type="dxa"/>
            <w:tcBorders>
              <w:tl2br w:val="nil"/>
              <w:tr2bl w:val="nil"/>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rPr>
              <w:t>朱长清、刘海勇、李双</w:t>
            </w:r>
          </w:p>
        </w:tc>
        <w:tc>
          <w:tcPr>
            <w:tcW w:w="1701" w:type="dxa"/>
            <w:tcBorders>
              <w:tl2br w:val="nil"/>
              <w:tr2bl w:val="nil"/>
            </w:tcBorders>
            <w:vAlign w:val="center"/>
          </w:tcPr>
          <w:p>
            <w:pPr>
              <w:widowControl/>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4</w:t>
            </w:r>
          </w:p>
        </w:tc>
        <w:tc>
          <w:tcPr>
            <w:tcW w:w="1304" w:type="dxa"/>
            <w:tcBorders>
              <w:tl2br w:val="nil"/>
              <w:tr2bl w:val="nil"/>
            </w:tcBorders>
            <w:vAlign w:val="center"/>
          </w:tcPr>
          <w:p>
            <w:pPr>
              <w:adjustRightInd w:val="0"/>
              <w:snapToGrid w:val="0"/>
              <w:spacing w:line="240" w:lineRule="auto"/>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福康食品有限公司</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14,990,789.71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20,897,723.22 </w:t>
            </w:r>
          </w:p>
        </w:tc>
        <w:tc>
          <w:tcPr>
            <w:tcW w:w="1164"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126,755.36 </w:t>
            </w:r>
          </w:p>
        </w:tc>
        <w:tc>
          <w:tcPr>
            <w:tcW w:w="1524" w:type="dxa"/>
            <w:tcBorders>
              <w:tl2br w:val="nil"/>
              <w:tr2bl w:val="nil"/>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lang w:val="en-US" w:eastAsia="zh-CN"/>
              </w:rPr>
              <w:t>邹平紫光电力科技有限公司、邹平瀚祥实业有限公司、孙凡汝、孙慧爽、福康食品有限公司</w:t>
            </w:r>
          </w:p>
        </w:tc>
        <w:tc>
          <w:tcPr>
            <w:tcW w:w="1701" w:type="dxa"/>
            <w:tcBorders>
              <w:tl2br w:val="nil"/>
              <w:tr2bl w:val="nil"/>
            </w:tcBorders>
            <w:vAlign w:val="center"/>
          </w:tcPr>
          <w:p>
            <w:pPr>
              <w:widowControl/>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抵质押物1-机器设备，主要为双利孵化出雏机、揉滚机、绞肉机等，最高抵押金额1500万元；</w:t>
            </w:r>
          </w:p>
          <w:p>
            <w:pPr>
              <w:widowControl/>
              <w:jc w:val="left"/>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抵质押物2-存货浮动质押，系鸭产品、熟食料理品、酱卤产品，最高抵押金额1500万元。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w:t>
            </w:r>
          </w:p>
        </w:tc>
        <w:tc>
          <w:tcPr>
            <w:tcW w:w="1304" w:type="dxa"/>
            <w:tcBorders>
              <w:tl2br w:val="nil"/>
              <w:tr2bl w:val="nil"/>
            </w:tcBorders>
            <w:vAlign w:val="center"/>
          </w:tcPr>
          <w:p>
            <w:pPr>
              <w:adjustRightInd w:val="0"/>
              <w:snapToGrid w:val="0"/>
              <w:spacing w:line="240" w:lineRule="auto"/>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福康食品有限公司</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14,999,700.00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13,080,973.66 </w:t>
            </w:r>
          </w:p>
        </w:tc>
        <w:tc>
          <w:tcPr>
            <w:tcW w:w="1164"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122,158.00 </w:t>
            </w:r>
          </w:p>
        </w:tc>
        <w:tc>
          <w:tcPr>
            <w:tcW w:w="1524" w:type="dxa"/>
            <w:tcBorders>
              <w:tl2br w:val="nil"/>
              <w:tr2bl w:val="nil"/>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rPr>
              <w:t>山东金都大展集团有限公司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张红梅、孙凡汝</w:t>
            </w:r>
            <w:r>
              <w:rPr>
                <w:rFonts w:hint="eastAsia" w:ascii="宋体" w:hAnsi="宋体" w:cs="宋体"/>
                <w:kern w:val="0"/>
                <w:sz w:val="18"/>
                <w:szCs w:val="18"/>
                <w:lang w:eastAsia="zh-CN"/>
              </w:rPr>
              <w:t>、</w:t>
            </w:r>
            <w:r>
              <w:rPr>
                <w:rFonts w:hint="eastAsia" w:ascii="宋体" w:hAnsi="宋体" w:eastAsia="宋体" w:cs="宋体"/>
                <w:color w:val="auto"/>
                <w:sz w:val="18"/>
                <w:szCs w:val="18"/>
                <w:highlight w:val="none"/>
              </w:rPr>
              <w:t>福康食品有限公司</w:t>
            </w:r>
          </w:p>
        </w:tc>
        <w:tc>
          <w:tcPr>
            <w:tcW w:w="1701" w:type="dxa"/>
            <w:tcBorders>
              <w:tl2br w:val="nil"/>
              <w:tr2bl w:val="nil"/>
            </w:tcBorders>
            <w:vAlign w:val="center"/>
          </w:tcPr>
          <w:p>
            <w:pPr>
              <w:widowControl/>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tcBorders>
              <w:tl2br w:val="nil"/>
              <w:tr2bl w:val="nil"/>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6</w:t>
            </w:r>
          </w:p>
        </w:tc>
        <w:tc>
          <w:tcPr>
            <w:tcW w:w="1304" w:type="dxa"/>
            <w:tcBorders>
              <w:tl2br w:val="nil"/>
              <w:tr2bl w:val="nil"/>
            </w:tcBorders>
            <w:vAlign w:val="center"/>
          </w:tcPr>
          <w:p>
            <w:pPr>
              <w:adjustRightInd w:val="0"/>
              <w:snapToGrid w:val="0"/>
              <w:spacing w:line="240" w:lineRule="auto"/>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郓城县天翼毛纺有限公司</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822,150.00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745,693.90  </w:t>
            </w:r>
          </w:p>
        </w:tc>
        <w:tc>
          <w:tcPr>
            <w:tcW w:w="1164"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1524" w:type="dxa"/>
            <w:tcBorders>
              <w:tl2br w:val="nil"/>
              <w:tr2bl w:val="nil"/>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rPr>
              <w:t>张爱国</w:t>
            </w:r>
            <w:r>
              <w:rPr>
                <w:rFonts w:hint="eastAsia" w:ascii="宋体" w:hAnsi="宋体" w:cs="宋体"/>
                <w:kern w:val="0"/>
                <w:sz w:val="18"/>
                <w:szCs w:val="18"/>
                <w:lang w:eastAsia="zh-CN"/>
              </w:rPr>
              <w:t>、郓城县天翼毛纺有限公司</w:t>
            </w:r>
          </w:p>
        </w:tc>
        <w:tc>
          <w:tcPr>
            <w:tcW w:w="1701" w:type="dxa"/>
            <w:tcBorders>
              <w:tl2br w:val="nil"/>
              <w:tr2bl w:val="nil"/>
            </w:tcBorders>
            <w:vAlign w:val="center"/>
          </w:tcPr>
          <w:p>
            <w:pPr>
              <w:widowControl/>
              <w:jc w:val="left"/>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抵押物1-机器设备26台/套，主要为印花台板机等，最高抵押金额120万元。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6" w:type="dxa"/>
            <w:tcBorders>
              <w:tl2br w:val="nil"/>
              <w:tr2bl w:val="nil"/>
            </w:tcBorders>
            <w:vAlign w:val="center"/>
          </w:tcPr>
          <w:p>
            <w:pPr>
              <w:widowControl/>
              <w:jc w:val="center"/>
              <w:rPr>
                <w:rFonts w:hint="eastAsia" w:ascii="宋体" w:hAnsi="宋体" w:cs="宋体"/>
                <w:kern w:val="0"/>
                <w:sz w:val="18"/>
                <w:szCs w:val="18"/>
                <w:highlight w:val="none"/>
                <w:lang w:val="en-US" w:eastAsia="zh-CN"/>
              </w:rPr>
            </w:pPr>
          </w:p>
        </w:tc>
        <w:tc>
          <w:tcPr>
            <w:tcW w:w="1304" w:type="dxa"/>
            <w:tcBorders>
              <w:tl2br w:val="nil"/>
              <w:tr2bl w:val="nil"/>
            </w:tcBorders>
            <w:vAlign w:val="center"/>
          </w:tcPr>
          <w:p>
            <w:pPr>
              <w:adjustRightInd w:val="0"/>
              <w:snapToGrid w:val="0"/>
              <w:spacing w:line="240" w:lineRule="auto"/>
              <w:ind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合计</w:t>
            </w:r>
          </w:p>
        </w:tc>
        <w:tc>
          <w:tcPr>
            <w:tcW w:w="14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79,600,344.37 </w:t>
            </w:r>
          </w:p>
        </w:tc>
        <w:tc>
          <w:tcPr>
            <w:tcW w:w="151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67,628,297.68  </w:t>
            </w:r>
          </w:p>
        </w:tc>
        <w:tc>
          <w:tcPr>
            <w:tcW w:w="1164"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422,845.36 </w:t>
            </w:r>
          </w:p>
        </w:tc>
        <w:tc>
          <w:tcPr>
            <w:tcW w:w="1524" w:type="dxa"/>
            <w:tcBorders>
              <w:tl2br w:val="nil"/>
              <w:tr2bl w:val="nil"/>
            </w:tcBorders>
            <w:vAlign w:val="center"/>
          </w:tcPr>
          <w:p>
            <w:pPr>
              <w:widowControl/>
              <w:numPr>
                <w:ilvl w:val="0"/>
                <w:numId w:val="0"/>
              </w:numPr>
              <w:jc w:val="center"/>
              <w:rPr>
                <w:rFonts w:hint="eastAsia" w:ascii="宋体" w:hAnsi="宋体" w:eastAsia="宋体" w:cs="宋体"/>
                <w:b/>
                <w:bCs/>
                <w:kern w:val="0"/>
                <w:sz w:val="18"/>
                <w:szCs w:val="18"/>
                <w:highlight w:val="none"/>
                <w:lang w:val="en-US" w:eastAsia="zh-CN"/>
              </w:rPr>
            </w:pPr>
          </w:p>
        </w:tc>
        <w:tc>
          <w:tcPr>
            <w:tcW w:w="1701" w:type="dxa"/>
            <w:tcBorders>
              <w:tl2br w:val="nil"/>
              <w:tr2bl w:val="nil"/>
            </w:tcBorders>
            <w:vAlign w:val="center"/>
          </w:tcPr>
          <w:p>
            <w:pPr>
              <w:widowControl/>
              <w:jc w:val="center"/>
              <w:rPr>
                <w:rFonts w:hint="eastAsia" w:ascii="宋体" w:hAnsi="宋体" w:cs="宋体"/>
                <w:b/>
                <w:bCs/>
                <w:kern w:val="0"/>
                <w:sz w:val="18"/>
                <w:szCs w:val="18"/>
                <w:highlight w:val="none"/>
                <w:lang w:val="en-US" w:eastAsia="zh-CN"/>
              </w:rPr>
            </w:pPr>
          </w:p>
        </w:tc>
      </w:tr>
      <w:bookmarkEnd w:id="0"/>
    </w:tbl>
    <w:p>
      <w:pPr>
        <w:widowControl/>
        <w:spacing w:line="360" w:lineRule="auto"/>
        <w:ind w:firstLine="480" w:firstLineChars="200"/>
        <w:jc w:val="both"/>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本公告清单仅列示截至基准日的债权本金、利息、其他债权余额，基准日后债务人和担保人应支付的利息、违约金、相关费用等按照相关合同协议、生效法律文书及法律法规的规定计算。</w:t>
      </w:r>
    </w:p>
    <w:p>
      <w:pPr>
        <w:widowControl/>
        <w:spacing w:line="360" w:lineRule="auto"/>
        <w:ind w:firstLine="481"/>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若债务人、担保人因各种原因更名、改制、歇业、吊销营业执照或丧失民事主体资格的，请相关承债主体及/或主管部门代为履行义务或履行清算责任。若本清单中担保人名单出现遗漏、笔误的，并不意味着中国中信金融资产管理股份有限公司山东省分公司对其担保责任的免除，担保人仍须按合同约定及法律规定履行担保责任。</w:t>
      </w:r>
    </w:p>
    <w:p>
      <w:pPr>
        <w:widowControl/>
        <w:spacing w:line="360" w:lineRule="auto"/>
        <w:ind w:firstLine="481"/>
        <w:jc w:val="both"/>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3.清单中的“担保人”包括保证人、抵押人、出质人。</w:t>
      </w:r>
    </w:p>
    <w:p>
      <w:pPr>
        <w:widowControl/>
        <w:spacing w:line="360" w:lineRule="auto"/>
        <w:ind w:firstLine="481"/>
        <w:jc w:val="both"/>
      </w:pPr>
      <w:r>
        <w:rPr>
          <w:rFonts w:hint="eastAsia" w:ascii="宋体" w:hAnsi="宋体" w:cs="宋体"/>
          <w:kern w:val="0"/>
          <w:sz w:val="24"/>
          <w:szCs w:val="24"/>
          <w:highlight w:val="none"/>
          <w:lang w:val="en-US" w:eastAsia="zh-CN"/>
        </w:rPr>
        <w:t>4.如清单中债务人、债权金额、担保人等信息与事实不符的，以相关合同、生效法律文书等为准</w:t>
      </w:r>
      <w:r>
        <w:rPr>
          <w:rFonts w:hint="eastAsia" w:ascii="宋体" w:hAnsi="宋体" w:cs="宋体"/>
          <w:kern w:val="0"/>
          <w:sz w:val="24"/>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F7DA0"/>
    <w:rsid w:val="3C237FF0"/>
    <w:rsid w:val="712B0D4F"/>
    <w:rsid w:val="78E55DEC"/>
    <w:rsid w:val="7B21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2024-06-13T03:06:00Z</dcterms:created>
  <dc:creator>leihou</dc:creator>
  <cp:lastModifiedBy>侯磊</cp:lastModifiedBy>
  <dcterms:modified xsi:type="dcterms:W3CDTF">2024-12-31T04:23:22Z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C62563BC6FA44223833E7A503C88479F</vt:lpwstr>
  </property>
</Properties>
</file>