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1"/>
        <w:widowControl/>
        <w:spacing w:before="0" w:beforeAutospacing="0" w:after="0" w:afterAutospacing="0"/>
        <w:ind w:left="0" w:right="0"/>
        <w:jc w:val="center"/>
        <w:rPr>
          <w:rFonts w:hint="eastAsia" w:ascii="黑体" w:hAnsi="黑体" w:eastAsia="黑体" w:cs="黑体"/>
          <w:b/>
          <w:color w:val="000000"/>
          <w:spacing w:val="0"/>
          <w:sz w:val="32"/>
          <w:szCs w:val="32"/>
          <w:highlight w:val="none"/>
          <w:lang w:bidi="ar"/>
        </w:rPr>
      </w:pPr>
      <w:r>
        <w:rPr>
          <w:rFonts w:hint="eastAsia" w:ascii="黑体" w:hAnsi="黑体" w:eastAsia="黑体" w:cs="黑体"/>
          <w:b/>
          <w:color w:val="000000"/>
          <w:spacing w:val="0"/>
          <w:sz w:val="32"/>
          <w:szCs w:val="32"/>
          <w:highlight w:val="none"/>
          <w:lang w:bidi="ar"/>
        </w:rPr>
        <w:t>中国</w:t>
      </w:r>
      <w:r>
        <w:rPr>
          <w:rFonts w:hint="eastAsia" w:ascii="黑体" w:hAnsi="黑体" w:eastAsia="黑体" w:cs="黑体"/>
          <w:b/>
          <w:color w:val="000000"/>
          <w:spacing w:val="0"/>
          <w:sz w:val="32"/>
          <w:szCs w:val="32"/>
          <w:highlight w:val="none"/>
          <w:lang w:val="en-US" w:eastAsia="zh-CN" w:bidi="ar"/>
        </w:rPr>
        <w:t>中信金融</w:t>
      </w:r>
      <w:r>
        <w:rPr>
          <w:rFonts w:hint="eastAsia" w:ascii="黑体" w:hAnsi="黑体" w:eastAsia="黑体" w:cs="黑体"/>
          <w:b/>
          <w:color w:val="000000"/>
          <w:spacing w:val="0"/>
          <w:sz w:val="32"/>
          <w:szCs w:val="32"/>
          <w:highlight w:val="none"/>
          <w:lang w:bidi="ar"/>
        </w:rPr>
        <w:t>资产管理股份有限公司山东省分公司</w:t>
      </w:r>
    </w:p>
    <w:p>
      <w:pPr>
        <w:pStyle w:val="11"/>
        <w:widowControl/>
        <w:spacing w:before="0" w:beforeAutospacing="0" w:after="0" w:afterAutospacing="0"/>
        <w:ind w:left="0" w:right="0"/>
        <w:jc w:val="center"/>
        <w:rPr>
          <w:rFonts w:hint="eastAsia" w:ascii="黑体" w:hAnsi="黑体" w:eastAsia="黑体" w:cs="黑体"/>
          <w:b/>
          <w:color w:val="000000"/>
          <w:spacing w:val="0"/>
          <w:sz w:val="32"/>
          <w:szCs w:val="32"/>
          <w:highlight w:val="none"/>
          <w:lang w:bidi="ar"/>
        </w:rPr>
      </w:pPr>
      <w:r>
        <w:rPr>
          <w:rFonts w:hint="eastAsia" w:ascii="黑体" w:hAnsi="黑体" w:eastAsia="黑体" w:cs="黑体"/>
          <w:b/>
          <w:color w:val="000000"/>
          <w:spacing w:val="0"/>
          <w:sz w:val="32"/>
          <w:szCs w:val="32"/>
          <w:highlight w:val="none"/>
          <w:lang w:bidi="ar"/>
        </w:rPr>
        <w:t>资产处置暨公开竞价</w:t>
      </w:r>
      <w:r>
        <w:rPr>
          <w:rFonts w:hint="eastAsia" w:ascii="黑体" w:hAnsi="黑体" w:eastAsia="黑体" w:cs="黑体"/>
          <w:b/>
          <w:color w:val="000000"/>
          <w:spacing w:val="0"/>
          <w:sz w:val="32"/>
          <w:szCs w:val="32"/>
          <w:highlight w:val="none"/>
          <w:lang w:val="en-US" w:eastAsia="zh-CN" w:bidi="ar"/>
        </w:rPr>
        <w:t>补登</w:t>
      </w:r>
      <w:r>
        <w:rPr>
          <w:rFonts w:hint="eastAsia" w:ascii="黑体" w:hAnsi="黑体" w:eastAsia="黑体" w:cs="黑体"/>
          <w:b/>
          <w:color w:val="000000"/>
          <w:spacing w:val="0"/>
          <w:sz w:val="32"/>
          <w:szCs w:val="32"/>
          <w:highlight w:val="none"/>
          <w:lang w:bidi="ar"/>
        </w:rPr>
        <w:t>公告</w:t>
      </w:r>
    </w:p>
    <w:p>
      <w:pPr>
        <w:spacing w:line="500" w:lineRule="exact"/>
        <w:ind w:firstLine="480" w:firstLineChars="200"/>
        <w:rPr>
          <w:rFonts w:hint="eastAsia" w:asciiTheme="minorEastAsia" w:hAnsiTheme="minorEastAsia" w:eastAsiaTheme="minorEastAsia" w:cstheme="minorEastAsia"/>
          <w:sz w:val="24"/>
          <w:szCs w:val="24"/>
          <w:highlight w:val="none"/>
        </w:rPr>
      </w:pPr>
    </w:p>
    <w:p>
      <w:pPr>
        <w:spacing w:line="50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中国</w:t>
      </w:r>
      <w:r>
        <w:rPr>
          <w:rFonts w:hint="eastAsia" w:ascii="宋体" w:hAnsi="宋体"/>
          <w:sz w:val="24"/>
          <w:szCs w:val="24"/>
          <w:highlight w:val="none"/>
          <w:lang w:val="en-US" w:eastAsia="zh-CN"/>
        </w:rPr>
        <w:t>中信金融</w:t>
      </w:r>
      <w:r>
        <w:rPr>
          <w:rFonts w:hint="eastAsia" w:asciiTheme="minorEastAsia" w:hAnsiTheme="minorEastAsia" w:eastAsiaTheme="minorEastAsia" w:cstheme="minorEastAsia"/>
          <w:sz w:val="24"/>
          <w:szCs w:val="24"/>
          <w:highlight w:val="none"/>
        </w:rPr>
        <w:t>资产管理股份有限公司山东省分公司</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以下称：本公司</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拟对</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u w:val="single"/>
        </w:rPr>
        <w:t>青岛利昊鑫工贸有限公司等</w:t>
      </w:r>
      <w:r>
        <w:rPr>
          <w:rFonts w:hint="eastAsia" w:asciiTheme="minorEastAsia" w:hAnsiTheme="minorEastAsia" w:eastAsiaTheme="minorEastAsia" w:cstheme="minorEastAsia"/>
          <w:sz w:val="24"/>
          <w:szCs w:val="24"/>
          <w:highlight w:val="none"/>
          <w:u w:val="single"/>
          <w:lang w:val="en-US" w:eastAsia="zh-CN"/>
        </w:rPr>
        <w:t>10</w:t>
      </w:r>
      <w:r>
        <w:rPr>
          <w:rFonts w:hint="eastAsia" w:asciiTheme="minorEastAsia" w:hAnsiTheme="minorEastAsia" w:eastAsiaTheme="minorEastAsia" w:cstheme="minorEastAsia"/>
          <w:sz w:val="24"/>
          <w:szCs w:val="24"/>
          <w:highlight w:val="none"/>
          <w:u w:val="single"/>
        </w:rPr>
        <w:t>户</w:t>
      </w:r>
      <w:r>
        <w:rPr>
          <w:rFonts w:hint="eastAsia" w:asciiTheme="minorEastAsia" w:hAnsiTheme="minorEastAsia" w:eastAsiaTheme="minorEastAsia" w:cstheme="minorEastAsia"/>
          <w:sz w:val="24"/>
          <w:szCs w:val="24"/>
          <w:highlight w:val="none"/>
        </w:rPr>
        <w:t>债权进行公开</w:t>
      </w:r>
      <w:r>
        <w:rPr>
          <w:rFonts w:hint="eastAsia" w:asciiTheme="minorEastAsia" w:hAnsiTheme="minorEastAsia" w:eastAsiaTheme="minorEastAsia" w:cstheme="minorEastAsia"/>
          <w:sz w:val="24"/>
          <w:szCs w:val="24"/>
          <w:highlight w:val="none"/>
          <w:lang w:val="en-US" w:eastAsia="zh-CN"/>
        </w:rPr>
        <w:t>竞价处置，并</w:t>
      </w:r>
      <w:r>
        <w:rPr>
          <w:rFonts w:hint="eastAsia" w:asciiTheme="minorEastAsia" w:hAnsiTheme="minorEastAsia" w:eastAsiaTheme="minorEastAsia" w:cstheme="minorEastAsia"/>
          <w:sz w:val="24"/>
          <w:szCs w:val="24"/>
          <w:highlight w:val="none"/>
        </w:rPr>
        <w:t>已于</w:t>
      </w:r>
      <w:r>
        <w:rPr>
          <w:rFonts w:hint="eastAsia" w:asciiTheme="minorEastAsia" w:hAnsiTheme="minorEastAsia" w:eastAsiaTheme="minorEastAsia" w:cstheme="minorEastAsia"/>
          <w:sz w:val="24"/>
          <w:szCs w:val="24"/>
          <w:highlight w:val="none"/>
          <w:lang w:val="en-US" w:eastAsia="zh-CN"/>
        </w:rPr>
        <w:t>2025</w:t>
      </w:r>
      <w:r>
        <w:rPr>
          <w:rFonts w:hint="eastAsia" w:asciiTheme="minorEastAsia" w:hAnsiTheme="minorEastAsia" w:eastAsiaTheme="minorEastAsia" w:cstheme="minorEastAsia"/>
          <w:sz w:val="24"/>
          <w:szCs w:val="24"/>
          <w:highlight w:val="none"/>
        </w:rPr>
        <w:t>年</w:t>
      </w:r>
      <w:r>
        <w:rPr>
          <w:rFonts w:hint="eastAsia" w:asciiTheme="minorEastAsia" w:hAnsiTheme="minorEastAsia" w:eastAsiaTheme="minorEastAsia" w:cstheme="minorEastAsia"/>
          <w:sz w:val="24"/>
          <w:szCs w:val="24"/>
          <w:highlight w:val="none"/>
          <w:lang w:val="en-US" w:eastAsia="zh-CN"/>
        </w:rPr>
        <w:t>12</w:t>
      </w:r>
      <w:r>
        <w:rPr>
          <w:rFonts w:hint="eastAsia" w:asciiTheme="minorEastAsia" w:hAnsiTheme="minorEastAsia" w:eastAsiaTheme="minorEastAsia" w:cstheme="minorEastAsia"/>
          <w:sz w:val="24"/>
          <w:szCs w:val="24"/>
          <w:highlight w:val="none"/>
        </w:rPr>
        <w:t>月</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日在</w:t>
      </w:r>
      <w:r>
        <w:rPr>
          <w:rFonts w:hint="eastAsia" w:asciiTheme="minorEastAsia" w:hAnsiTheme="minorEastAsia" w:eastAsiaTheme="minorEastAsia" w:cstheme="minorEastAsia"/>
          <w:sz w:val="24"/>
          <w:szCs w:val="24"/>
          <w:highlight w:val="none"/>
          <w:lang w:val="en-US" w:eastAsia="zh-CN"/>
        </w:rPr>
        <w:t>山东产权交易中心</w:t>
      </w:r>
      <w:r>
        <w:rPr>
          <w:rFonts w:hint="eastAsia" w:asciiTheme="minorEastAsia" w:hAnsiTheme="minorEastAsia" w:eastAsiaTheme="minorEastAsia" w:cstheme="minorEastAsia"/>
          <w:sz w:val="24"/>
          <w:szCs w:val="24"/>
          <w:highlight w:val="none"/>
        </w:rPr>
        <w:t>的交易系统（</w:t>
      </w:r>
      <w:r>
        <w:rPr>
          <w:rFonts w:hint="eastAsia" w:asciiTheme="minorEastAsia" w:hAnsiTheme="minorEastAsia" w:eastAsiaTheme="minorEastAsia" w:cstheme="minorEastAsia"/>
          <w:sz w:val="24"/>
          <w:szCs w:val="24"/>
          <w:highlight w:val="none"/>
          <w:lang w:val="en-US" w:eastAsia="zh-CN"/>
        </w:rPr>
        <w:t xml:space="preserve">网址：http://sdcqjy.com </w:t>
      </w:r>
      <w:r>
        <w:rPr>
          <w:rFonts w:hint="eastAsia" w:asciiTheme="minorEastAsia" w:hAnsiTheme="minorEastAsia" w:eastAsiaTheme="minorEastAsia" w:cstheme="minorEastAsia"/>
          <w:sz w:val="24"/>
          <w:szCs w:val="24"/>
          <w:highlight w:val="none"/>
        </w:rPr>
        <w:t>）发布了公开竞价公告，在首个公告期内只有一名投资</w:t>
      </w:r>
      <w:r>
        <w:rPr>
          <w:rFonts w:hint="eastAsia" w:asciiTheme="minorEastAsia" w:hAnsiTheme="minorEastAsia" w:eastAsiaTheme="minorEastAsia" w:cstheme="minorEastAsia"/>
          <w:sz w:val="24"/>
          <w:szCs w:val="24"/>
          <w:highlight w:val="none"/>
          <w:lang w:eastAsia="zh-CN"/>
        </w:rPr>
        <w:t>人</w:t>
      </w:r>
      <w:r>
        <w:rPr>
          <w:rFonts w:hint="eastAsia" w:asciiTheme="minorEastAsia" w:hAnsiTheme="minorEastAsia" w:eastAsiaTheme="minorEastAsia" w:cstheme="minorEastAsia"/>
          <w:sz w:val="24"/>
          <w:szCs w:val="24"/>
          <w:highlight w:val="none"/>
          <w:lang w:val="en-US" w:eastAsia="zh-CN"/>
        </w:rPr>
        <w:t>报名</w:t>
      </w:r>
      <w:r>
        <w:rPr>
          <w:rFonts w:hint="eastAsia" w:asciiTheme="minorEastAsia" w:hAnsiTheme="minorEastAsia" w:eastAsiaTheme="minorEastAsia" w:cstheme="minorEastAsia"/>
          <w:sz w:val="24"/>
          <w:szCs w:val="24"/>
          <w:highlight w:val="none"/>
        </w:rPr>
        <w:t>参与竞价该债权并缴纳了竞价保证金。现</w:t>
      </w:r>
      <w:r>
        <w:rPr>
          <w:rFonts w:hint="eastAsia" w:asciiTheme="minorEastAsia" w:hAnsiTheme="minorEastAsia" w:eastAsiaTheme="minorEastAsia" w:cstheme="minorEastAsia"/>
          <w:sz w:val="24"/>
          <w:szCs w:val="24"/>
          <w:highlight w:val="none"/>
          <w:lang w:val="en-US" w:eastAsia="zh-CN"/>
        </w:rPr>
        <w:t>本</w:t>
      </w:r>
      <w:r>
        <w:rPr>
          <w:rFonts w:hint="eastAsia" w:asciiTheme="minorEastAsia" w:hAnsiTheme="minorEastAsia" w:eastAsiaTheme="minorEastAsia" w:cstheme="minorEastAsia"/>
          <w:sz w:val="24"/>
          <w:szCs w:val="24"/>
          <w:highlight w:val="none"/>
        </w:rPr>
        <w:t>公司再次发布公开竞价公告，若本公告期间无其他投资人有明确竞价意愿并按规定缴纳竞价保证</w:t>
      </w:r>
      <w:bookmarkStart w:id="0" w:name="_GoBack"/>
      <w:bookmarkEnd w:id="0"/>
      <w:r>
        <w:rPr>
          <w:rFonts w:hint="eastAsia" w:asciiTheme="minorEastAsia" w:hAnsiTheme="minorEastAsia" w:eastAsiaTheme="minorEastAsia" w:cstheme="minorEastAsia"/>
          <w:sz w:val="24"/>
          <w:szCs w:val="24"/>
          <w:highlight w:val="none"/>
        </w:rPr>
        <w:t>金的，</w:t>
      </w:r>
      <w:r>
        <w:rPr>
          <w:rFonts w:hint="eastAsia" w:asciiTheme="minorEastAsia" w:hAnsiTheme="minorEastAsia" w:eastAsiaTheme="minorEastAsia" w:cstheme="minorEastAsia"/>
          <w:sz w:val="24"/>
          <w:szCs w:val="24"/>
          <w:highlight w:val="none"/>
          <w:lang w:val="en-US" w:eastAsia="zh-CN"/>
        </w:rPr>
        <w:t>本</w:t>
      </w:r>
      <w:r>
        <w:rPr>
          <w:rFonts w:hint="eastAsia" w:asciiTheme="minorEastAsia" w:hAnsiTheme="minorEastAsia" w:eastAsiaTheme="minorEastAsia" w:cstheme="minorEastAsia"/>
          <w:sz w:val="24"/>
          <w:szCs w:val="24"/>
          <w:highlight w:val="none"/>
        </w:rPr>
        <w:t>公司拟将上述债权转让给现有意向投资人。</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一、公开竞价的时间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sz w:val="24"/>
          <w:szCs w:val="24"/>
          <w:highlight w:val="none"/>
        </w:rPr>
      </w:pPr>
      <w:r>
        <w:rPr>
          <w:rFonts w:hint="eastAsia"/>
          <w:sz w:val="24"/>
          <w:szCs w:val="24"/>
          <w:highlight w:val="none"/>
        </w:rPr>
        <w:t>公开竞价的时间具体以</w:t>
      </w:r>
      <w:r>
        <w:rPr>
          <w:rFonts w:hint="eastAsia"/>
          <w:sz w:val="24"/>
          <w:szCs w:val="24"/>
          <w:highlight w:val="none"/>
          <w:lang w:val="en-US" w:eastAsia="zh-CN"/>
        </w:rPr>
        <w:t>山东产权交易中心</w:t>
      </w:r>
      <w:r>
        <w:rPr>
          <w:rFonts w:hint="eastAsia" w:asciiTheme="minorEastAsia" w:hAnsiTheme="minorEastAsia" w:eastAsiaTheme="minorEastAsia" w:cstheme="minorEastAsia"/>
          <w:sz w:val="24"/>
          <w:szCs w:val="24"/>
          <w:highlight w:val="none"/>
        </w:rPr>
        <w:t>系统</w:t>
      </w:r>
      <w:r>
        <w:rPr>
          <w:rFonts w:hint="eastAsia"/>
          <w:sz w:val="24"/>
          <w:szCs w:val="24"/>
          <w:highlight w:val="none"/>
        </w:rPr>
        <w:t>公布为准。</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竞价标的基本情况</w:t>
      </w:r>
    </w:p>
    <w:tbl>
      <w:tblPr>
        <w:tblStyle w:val="13"/>
        <w:tblW w:w="11009"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580"/>
        <w:gridCol w:w="1776"/>
        <w:gridCol w:w="787"/>
        <w:gridCol w:w="1356"/>
        <w:gridCol w:w="1390"/>
        <w:gridCol w:w="2124"/>
        <w:gridCol w:w="1084"/>
        <w:gridCol w:w="1912"/>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98" w:hRule="atLeast"/>
          <w:jc w:val="center"/>
        </w:trPr>
        <w:tc>
          <w:tcPr>
            <w:tcW w:w="11009" w:type="dxa"/>
            <w:gridSpan w:val="8"/>
            <w:tcBorders>
              <w:top w:val="single" w:color="auto" w:sz="4" w:space="0"/>
              <w:bottom w:val="single" w:color="auto" w:sz="4" w:space="0"/>
            </w:tcBorders>
            <w:noWrap w:val="0"/>
            <w:vAlign w:val="center"/>
          </w:tcPr>
          <w:p>
            <w:pPr>
              <w:widowControl/>
              <w:jc w:val="center"/>
              <w:rPr>
                <w:rFonts w:hint="eastAsia" w:ascii="宋体" w:hAnsi="宋体" w:cs="宋体"/>
                <w:kern w:val="0"/>
                <w:sz w:val="18"/>
                <w:szCs w:val="18"/>
                <w:highlight w:val="none"/>
                <w:lang w:val="en-US" w:eastAsia="zh-CN"/>
              </w:rPr>
            </w:pPr>
            <w:r>
              <w:rPr>
                <w:rFonts w:hint="eastAsia" w:ascii="宋体" w:hAnsi="宋体" w:eastAsia="Times New Roman" w:cs="宋体"/>
                <w:kern w:val="0"/>
                <w:sz w:val="18"/>
                <w:szCs w:val="18"/>
                <w:highlight w:val="none"/>
              </w:rPr>
              <w:t>基准日：</w:t>
            </w:r>
            <w:r>
              <w:rPr>
                <w:rFonts w:hint="eastAsia" w:ascii="宋体" w:hAnsi="宋体" w:eastAsia="宋体" w:cs="宋体"/>
                <w:kern w:val="0"/>
                <w:sz w:val="18"/>
                <w:szCs w:val="18"/>
                <w:highlight w:val="none"/>
                <w:lang w:val="en-US" w:eastAsia="zh-CN"/>
              </w:rPr>
              <w:t>2025</w:t>
            </w:r>
            <w:r>
              <w:rPr>
                <w:rFonts w:hint="eastAsia" w:ascii="宋体" w:hAnsi="宋体" w:cs="宋体"/>
                <w:kern w:val="0"/>
                <w:sz w:val="18"/>
                <w:szCs w:val="18"/>
                <w:highlight w:val="none"/>
                <w:lang w:val="en-US" w:eastAsia="zh-CN"/>
              </w:rPr>
              <w:t>年 10月20 日</w:t>
            </w:r>
            <w:r>
              <w:rPr>
                <w:rFonts w:hint="eastAsia" w:ascii="宋体" w:hAnsi="宋体" w:cs="宋体"/>
                <w:kern w:val="0"/>
                <w:sz w:val="18"/>
                <w:szCs w:val="18"/>
                <w:highlight w:val="none"/>
              </w:rPr>
              <w:t xml:space="preserve">  </w:t>
            </w:r>
            <w:r>
              <w:rPr>
                <w:rFonts w:hint="eastAsia" w:ascii="宋体" w:hAnsi="宋体" w:eastAsia="Times New Roman" w:cs="宋体"/>
                <w:kern w:val="0"/>
                <w:sz w:val="18"/>
                <w:szCs w:val="18"/>
                <w:highlight w:val="none"/>
              </w:rPr>
              <w:t xml:space="preserve">                        </w:t>
            </w:r>
            <w:r>
              <w:rPr>
                <w:rFonts w:hint="eastAsia" w:ascii="宋体" w:hAnsi="宋体" w:eastAsia="宋体" w:cs="宋体"/>
                <w:kern w:val="0"/>
                <w:sz w:val="18"/>
                <w:szCs w:val="18"/>
                <w:highlight w:val="none"/>
                <w:lang w:val="en-US" w:eastAsia="zh-CN"/>
              </w:rPr>
              <w:t xml:space="preserve"> </w:t>
            </w:r>
            <w:r>
              <w:rPr>
                <w:rFonts w:hint="eastAsia" w:ascii="宋体" w:hAnsi="宋体" w:eastAsia="Times New Roman" w:cs="宋体"/>
                <w:kern w:val="0"/>
                <w:sz w:val="18"/>
                <w:szCs w:val="18"/>
                <w:highlight w:val="none"/>
              </w:rPr>
              <w:t xml:space="preserve">   </w:t>
            </w:r>
            <w:r>
              <w:rPr>
                <w:rFonts w:hint="eastAsia" w:ascii="宋体" w:hAnsi="宋体" w:eastAsia="宋体" w:cs="宋体"/>
                <w:kern w:val="0"/>
                <w:sz w:val="18"/>
                <w:szCs w:val="18"/>
                <w:highlight w:val="none"/>
                <w:lang w:val="en-US" w:eastAsia="zh-CN"/>
              </w:rPr>
              <w:t xml:space="preserve">                       </w:t>
            </w:r>
            <w:r>
              <w:rPr>
                <w:rFonts w:hint="eastAsia" w:ascii="宋体" w:hAnsi="宋体" w:eastAsia="Times New Roman" w:cs="宋体"/>
                <w:kern w:val="0"/>
                <w:sz w:val="18"/>
                <w:szCs w:val="18"/>
                <w:highlight w:val="none"/>
              </w:rPr>
              <w:t xml:space="preserve">货币单位：人民币 </w:t>
            </w:r>
            <w:r>
              <w:rPr>
                <w:rFonts w:hint="eastAsia" w:ascii="宋体" w:hAnsi="宋体" w:eastAsia="Times New Roman" w:cs="宋体"/>
                <w:kern w:val="0"/>
                <w:sz w:val="18"/>
                <w:szCs w:val="18"/>
                <w:highlight w:val="none"/>
                <w:lang w:val="en-US" w:eastAsia="zh-CN"/>
              </w:rPr>
              <w:t xml:space="preserve"> </w:t>
            </w:r>
            <w:r>
              <w:rPr>
                <w:rFonts w:hint="eastAsia" w:ascii="宋体" w:hAnsi="宋体" w:eastAsia="Times New Roman" w:cs="宋体"/>
                <w:kern w:val="0"/>
                <w:sz w:val="18"/>
                <w:szCs w:val="18"/>
                <w:highlight w:val="none"/>
              </w:rPr>
              <w:t>元</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98"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ascii="宋体" w:hAnsi="宋体" w:cs="宋体"/>
                <w:kern w:val="0"/>
                <w:sz w:val="18"/>
                <w:szCs w:val="18"/>
                <w:highlight w:val="none"/>
              </w:rPr>
            </w:pPr>
            <w:r>
              <w:rPr>
                <w:rFonts w:hint="eastAsia" w:ascii="宋体" w:hAnsi="宋体" w:cs="宋体"/>
                <w:kern w:val="0"/>
                <w:sz w:val="18"/>
                <w:szCs w:val="18"/>
                <w:highlight w:val="none"/>
              </w:rPr>
              <w:t>序号</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18"/>
                <w:szCs w:val="18"/>
                <w:highlight w:val="none"/>
              </w:rPr>
            </w:pPr>
            <w:r>
              <w:rPr>
                <w:rFonts w:hint="eastAsia" w:ascii="宋体" w:hAnsi="宋体" w:cs="宋体"/>
                <w:kern w:val="0"/>
                <w:sz w:val="18"/>
                <w:szCs w:val="18"/>
                <w:highlight w:val="none"/>
              </w:rPr>
              <w:t>债务人名称</w:t>
            </w:r>
          </w:p>
        </w:tc>
        <w:tc>
          <w:tcPr>
            <w:tcW w:w="7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0"/>
                <w:sz w:val="18"/>
                <w:szCs w:val="18"/>
                <w:highlight w:val="none"/>
                <w:lang w:eastAsia="zh-CN"/>
              </w:rPr>
            </w:pPr>
            <w:r>
              <w:rPr>
                <w:rFonts w:hint="eastAsia" w:ascii="宋体" w:hAnsi="宋体" w:cs="宋体"/>
                <w:kern w:val="0"/>
                <w:sz w:val="18"/>
                <w:szCs w:val="18"/>
                <w:highlight w:val="none"/>
                <w:lang w:eastAsia="zh-CN"/>
              </w:rPr>
              <w:t>地区</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18"/>
                <w:szCs w:val="18"/>
                <w:highlight w:val="none"/>
              </w:rPr>
            </w:pPr>
            <w:r>
              <w:rPr>
                <w:rFonts w:hint="eastAsia" w:ascii="宋体" w:hAnsi="宋体" w:cs="宋体"/>
                <w:kern w:val="0"/>
                <w:sz w:val="18"/>
                <w:szCs w:val="18"/>
                <w:highlight w:val="none"/>
              </w:rPr>
              <w:t>本金</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8"/>
                <w:szCs w:val="18"/>
                <w:highlight w:val="none"/>
              </w:rPr>
            </w:pPr>
            <w:r>
              <w:rPr>
                <w:rFonts w:hint="eastAsia" w:ascii="宋体" w:hAnsi="宋体" w:cs="宋体"/>
                <w:kern w:val="0"/>
                <w:sz w:val="18"/>
                <w:szCs w:val="18"/>
                <w:highlight w:val="none"/>
              </w:rPr>
              <w:t>利息</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18"/>
                <w:szCs w:val="18"/>
                <w:highlight w:val="none"/>
              </w:rPr>
            </w:pPr>
            <w:r>
              <w:rPr>
                <w:rFonts w:hint="eastAsia" w:ascii="宋体" w:hAnsi="宋体" w:cs="宋体"/>
                <w:kern w:val="0"/>
                <w:sz w:val="18"/>
                <w:szCs w:val="18"/>
                <w:highlight w:val="none"/>
              </w:rPr>
              <w:t>担保人</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cs="宋体"/>
                <w:kern w:val="0"/>
                <w:sz w:val="18"/>
                <w:szCs w:val="18"/>
                <w:highlight w:val="none"/>
              </w:rPr>
            </w:pPr>
            <w:r>
              <w:rPr>
                <w:rFonts w:hint="eastAsia" w:ascii="宋体" w:hAnsi="宋体" w:cs="宋体"/>
                <w:kern w:val="0"/>
                <w:sz w:val="18"/>
                <w:szCs w:val="18"/>
                <w:highlight w:val="none"/>
              </w:rPr>
              <w:t>担保物</w:t>
            </w:r>
          </w:p>
        </w:tc>
        <w:tc>
          <w:tcPr>
            <w:tcW w:w="1912" w:type="dxa"/>
            <w:tcBorders>
              <w:top w:val="single" w:color="auto" w:sz="4" w:space="0"/>
              <w:left w:val="single" w:color="auto" w:sz="4" w:space="0"/>
              <w:bottom w:val="single" w:color="auto" w:sz="4" w:space="0"/>
            </w:tcBorders>
            <w:noWrap w:val="0"/>
            <w:vAlign w:val="center"/>
          </w:tcPr>
          <w:p>
            <w:pPr>
              <w:widowControl/>
              <w:jc w:val="center"/>
              <w:rPr>
                <w:rFonts w:hint="default" w:ascii="宋体" w:hAnsi="宋体" w:eastAsia="宋体" w:cs="宋体"/>
                <w:kern w:val="0"/>
                <w:sz w:val="18"/>
                <w:szCs w:val="18"/>
                <w:highlight w:val="yellow"/>
                <w:lang w:val="en-US" w:eastAsia="zh-CN"/>
              </w:rPr>
            </w:pPr>
            <w:r>
              <w:rPr>
                <w:rFonts w:hint="eastAsia" w:ascii="宋体" w:hAnsi="宋体" w:cs="宋体"/>
                <w:kern w:val="0"/>
                <w:sz w:val="18"/>
                <w:szCs w:val="18"/>
                <w:highlight w:val="none"/>
                <w:lang w:val="en-US" w:eastAsia="zh-CN"/>
              </w:rPr>
              <w:t>瑕疵披露</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85"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ascii="宋体" w:hAnsi="宋体" w:cs="宋体"/>
                <w:kern w:val="0"/>
                <w:sz w:val="18"/>
                <w:szCs w:val="18"/>
                <w:highlight w:val="none"/>
              </w:rPr>
            </w:pPr>
            <w:r>
              <w:rPr>
                <w:rFonts w:hint="eastAsia" w:ascii="宋体" w:hAnsi="宋体" w:cs="宋体"/>
                <w:kern w:val="0"/>
                <w:sz w:val="18"/>
                <w:szCs w:val="18"/>
                <w:highlight w:val="none"/>
              </w:rPr>
              <w:t>1</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青岛利昊鑫工贸有限公司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kern w:val="0"/>
                <w:sz w:val="16"/>
                <w:szCs w:val="16"/>
                <w:highlight w:val="none"/>
                <w:lang w:val="en-US" w:eastAsia="zh-CN"/>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 xml:space="preserve">14,991,000.00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auto"/>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21,071,015.78</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谈述战</w:t>
            </w:r>
            <w:r>
              <w:rPr>
                <w:rFonts w:hint="eastAsia" w:ascii="Times New Roman" w:hAnsi="Times New Roman" w:eastAsia="宋体" w:cs="Times New Roman"/>
                <w:i w:val="0"/>
                <w:iCs w:val="0"/>
                <w:color w:val="000000"/>
                <w:kern w:val="0"/>
                <w:sz w:val="16"/>
                <w:szCs w:val="16"/>
                <w:highlight w:val="none"/>
                <w:u w:val="none"/>
                <w:lang w:val="en-US" w:eastAsia="zh-CN" w:bidi="ar"/>
              </w:rPr>
              <w:t>、青岛信利达玩具有限公司</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ascii="宋体" w:hAnsi="宋体" w:cs="宋体"/>
                <w:kern w:val="0"/>
                <w:sz w:val="16"/>
                <w:szCs w:val="16"/>
                <w:highlight w:val="none"/>
              </w:rPr>
            </w:pPr>
            <w:r>
              <w:rPr>
                <w:rFonts w:hint="eastAsia" w:ascii="Times New Roman" w:hAnsi="Times New Roman" w:eastAsia="宋体" w:cs="Times New Roman"/>
                <w:i w:val="0"/>
                <w:iCs w:val="0"/>
                <w:color w:val="000000"/>
                <w:kern w:val="0"/>
                <w:sz w:val="16"/>
                <w:szCs w:val="16"/>
                <w:highlight w:val="none"/>
                <w:u w:val="none"/>
                <w:lang w:val="en-US" w:eastAsia="zh-CN" w:bidi="ar"/>
              </w:rPr>
              <w:t>工业房地产</w:t>
            </w:r>
          </w:p>
        </w:tc>
        <w:tc>
          <w:tcPr>
            <w:tcW w:w="1912" w:type="dxa"/>
            <w:tcBorders>
              <w:top w:val="single" w:color="auto" w:sz="4" w:space="0"/>
              <w:left w:val="single" w:color="auto" w:sz="4" w:space="0"/>
              <w:bottom w:val="single" w:color="auto" w:sz="4" w:space="0"/>
            </w:tcBorders>
            <w:noWrap w:val="0"/>
            <w:vAlign w:val="center"/>
          </w:tcPr>
          <w:p>
            <w:pPr>
              <w:widowControl/>
              <w:jc w:val="both"/>
              <w:rPr>
                <w:rFonts w:hint="default" w:ascii="Times New Roman" w:hAnsi="Times New Roman" w:eastAsia="宋体" w:cs="Times New Roman"/>
                <w:i w:val="0"/>
                <w:iCs w:val="0"/>
                <w:color w:val="000000"/>
                <w:kern w:val="0"/>
                <w:sz w:val="16"/>
                <w:szCs w:val="16"/>
                <w:highlight w:val="yellow"/>
                <w:u w:val="none"/>
                <w:lang w:val="en-US" w:eastAsia="zh-CN" w:bidi="ar"/>
              </w:rPr>
            </w:pPr>
            <w:r>
              <w:rPr>
                <w:rFonts w:hint="default" w:ascii="Times New Roman" w:hAnsi="Times New Roman" w:eastAsia="宋体" w:cs="Times New Roman"/>
                <w:i w:val="0"/>
                <w:iCs w:val="0"/>
                <w:color w:val="000000"/>
                <w:kern w:val="0"/>
                <w:sz w:val="16"/>
                <w:szCs w:val="16"/>
                <w:highlight w:val="none"/>
                <w:u w:val="none"/>
                <w:lang w:val="en-US" w:eastAsia="zh-CN" w:bidi="ar"/>
              </w:rPr>
              <w:t>抵押物</w:t>
            </w:r>
            <w:r>
              <w:rPr>
                <w:rFonts w:hint="eastAsia" w:ascii="Times New Roman" w:hAnsi="Times New Roman" w:cs="Times New Roman"/>
                <w:i w:val="0"/>
                <w:iCs w:val="0"/>
                <w:color w:val="000000"/>
                <w:kern w:val="0"/>
                <w:sz w:val="16"/>
                <w:szCs w:val="16"/>
                <w:highlight w:val="none"/>
                <w:u w:val="none"/>
                <w:lang w:val="en-US" w:eastAsia="zh-CN" w:bidi="ar"/>
              </w:rPr>
              <w:t>被第三方占有使用，</w:t>
            </w:r>
            <w:r>
              <w:rPr>
                <w:rFonts w:hint="default" w:ascii="Times New Roman" w:hAnsi="Times New Roman" w:eastAsia="宋体" w:cs="Times New Roman"/>
                <w:i w:val="0"/>
                <w:iCs w:val="0"/>
                <w:color w:val="000000"/>
                <w:kern w:val="0"/>
                <w:sz w:val="16"/>
                <w:szCs w:val="16"/>
                <w:highlight w:val="none"/>
                <w:u w:val="none"/>
                <w:lang w:val="en-US" w:eastAsia="zh-CN" w:bidi="ar"/>
              </w:rPr>
              <w:t>执行清场难度大</w:t>
            </w:r>
            <w:r>
              <w:rPr>
                <w:rFonts w:hint="eastAsia" w:ascii="Times New Roman" w:hAnsi="Times New Roman" w:cs="Times New Roman"/>
                <w:i w:val="0"/>
                <w:iCs w:val="0"/>
                <w:color w:val="000000"/>
                <w:kern w:val="0"/>
                <w:sz w:val="16"/>
                <w:szCs w:val="16"/>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青岛中科昊泰新材料科技有限公司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kern w:val="0"/>
                <w:sz w:val="16"/>
                <w:szCs w:val="16"/>
                <w:highlight w:val="none"/>
                <w:lang w:val="en-US" w:eastAsia="zh-CN"/>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 xml:space="preserve">89,922,000.00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auto"/>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57,982,391.00</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青岛信利达玩具有限公司、青岛利昊鑫工贸有限公司、青岛嘉睿昊塑料制品有限公司、</w:t>
            </w:r>
            <w:r>
              <w:rPr>
                <w:rFonts w:hint="eastAsia" w:ascii="Times New Roman" w:hAnsi="Times New Roman" w:eastAsia="宋体" w:cs="Times New Roman"/>
                <w:i w:val="0"/>
                <w:iCs w:val="0"/>
                <w:color w:val="000000"/>
                <w:kern w:val="0"/>
                <w:sz w:val="16"/>
                <w:szCs w:val="16"/>
                <w:highlight w:val="none"/>
                <w:u w:val="none"/>
                <w:lang w:val="en-US" w:eastAsia="zh-CN" w:bidi="ar"/>
              </w:rPr>
              <w:t>青岛中科昊泰新材料科技有限公司、</w:t>
            </w:r>
            <w:r>
              <w:rPr>
                <w:rFonts w:hint="default" w:ascii="Times New Roman" w:hAnsi="Times New Roman" w:eastAsia="宋体" w:cs="Times New Roman"/>
                <w:i w:val="0"/>
                <w:iCs w:val="0"/>
                <w:color w:val="000000"/>
                <w:kern w:val="0"/>
                <w:sz w:val="16"/>
                <w:szCs w:val="16"/>
                <w:highlight w:val="none"/>
                <w:u w:val="none"/>
                <w:lang w:val="en-US" w:eastAsia="zh-CN" w:bidi="ar"/>
              </w:rPr>
              <w:t>谈述战、苏丽娟</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ascii="宋体" w:hAnsi="宋体" w:cs="宋体"/>
                <w:kern w:val="0"/>
                <w:sz w:val="16"/>
                <w:szCs w:val="16"/>
                <w:highlight w:val="none"/>
              </w:rPr>
            </w:pPr>
            <w:r>
              <w:rPr>
                <w:rFonts w:hint="eastAsia" w:ascii="Times New Roman" w:hAnsi="Times New Roman" w:eastAsia="宋体" w:cs="Times New Roman"/>
                <w:i w:val="0"/>
                <w:iCs w:val="0"/>
                <w:color w:val="000000"/>
                <w:kern w:val="0"/>
                <w:sz w:val="16"/>
                <w:szCs w:val="16"/>
                <w:highlight w:val="none"/>
                <w:u w:val="none"/>
                <w:lang w:val="en-US" w:eastAsia="zh-CN" w:bidi="ar"/>
              </w:rPr>
              <w:t>工业房地产</w:t>
            </w:r>
          </w:p>
        </w:tc>
        <w:tc>
          <w:tcPr>
            <w:tcW w:w="1912" w:type="dxa"/>
            <w:tcBorders>
              <w:top w:val="single" w:color="auto" w:sz="4" w:space="0"/>
              <w:left w:val="single" w:color="auto" w:sz="4" w:space="0"/>
              <w:bottom w:val="single" w:color="auto" w:sz="4" w:space="0"/>
            </w:tcBorders>
            <w:noWrap w:val="0"/>
            <w:vAlign w:val="center"/>
          </w:tcPr>
          <w:p>
            <w:pPr>
              <w:widowControl/>
              <w:jc w:val="both"/>
              <w:rPr>
                <w:rFonts w:hint="default" w:ascii="Times New Roman" w:hAnsi="Times New Roman" w:eastAsia="宋体" w:cs="Times New Roman"/>
                <w:i w:val="0"/>
                <w:iCs w:val="0"/>
                <w:color w:val="000000"/>
                <w:kern w:val="0"/>
                <w:sz w:val="16"/>
                <w:szCs w:val="16"/>
                <w:highlight w:val="yellow"/>
                <w:u w:val="none"/>
                <w:lang w:val="en-US" w:eastAsia="zh-CN" w:bidi="ar"/>
              </w:rPr>
            </w:pPr>
            <w:r>
              <w:rPr>
                <w:rFonts w:hint="eastAsia" w:ascii="Times New Roman" w:hAnsi="Times New Roman" w:cs="Times New Roman"/>
                <w:i w:val="0"/>
                <w:iCs w:val="0"/>
                <w:color w:val="000000"/>
                <w:kern w:val="0"/>
                <w:sz w:val="16"/>
                <w:szCs w:val="16"/>
                <w:highlight w:val="none"/>
                <w:u w:val="none"/>
                <w:lang w:val="en-US" w:eastAsia="zh-CN" w:bidi="ar"/>
              </w:rPr>
              <w:t>抵押物被轮候查封，债务人已进入破产程序。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青岛金桑广告礼仪有限公司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 xml:space="preserve">22,600,000.00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cs="宋体"/>
                <w:color w:val="auto"/>
                <w:kern w:val="0"/>
                <w:sz w:val="18"/>
                <w:szCs w:val="18"/>
                <w:highlight w:val="none"/>
                <w:lang w:val="en-US"/>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25,381,713.31</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刘士义</w:t>
            </w:r>
            <w:r>
              <w:rPr>
                <w:rFonts w:hint="eastAsia" w:ascii="Times New Roman" w:hAnsi="Times New Roman" w:eastAsia="宋体" w:cs="Times New Roman"/>
                <w:i w:val="0"/>
                <w:iCs w:val="0"/>
                <w:color w:val="000000"/>
                <w:kern w:val="0"/>
                <w:sz w:val="16"/>
                <w:szCs w:val="16"/>
                <w:highlight w:val="none"/>
                <w:u w:val="none"/>
                <w:lang w:val="en-US" w:eastAsia="zh-CN" w:bidi="ar"/>
              </w:rPr>
              <w:t>、青岛旭恒商贸有限公司</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default" w:ascii="Times New Roman" w:hAnsi="Times New Roman" w:eastAsia="宋体" w:cs="Times New Roman"/>
                <w:i w:val="0"/>
                <w:iCs w:val="0"/>
                <w:color w:val="000000"/>
                <w:kern w:val="0"/>
                <w:sz w:val="16"/>
                <w:szCs w:val="16"/>
                <w:highlight w:val="none"/>
                <w:u w:val="none"/>
                <w:lang w:val="en-US" w:eastAsia="zh-CN" w:bidi="ar"/>
              </w:rPr>
              <w:t>工业房地产</w:t>
            </w:r>
          </w:p>
        </w:tc>
        <w:tc>
          <w:tcPr>
            <w:tcW w:w="1912" w:type="dxa"/>
            <w:tcBorders>
              <w:top w:val="single" w:color="auto" w:sz="4" w:space="0"/>
              <w:left w:val="single" w:color="auto" w:sz="4" w:space="0"/>
              <w:bottom w:val="single" w:color="auto" w:sz="4" w:space="0"/>
            </w:tcBorders>
            <w:noWrap w:val="0"/>
            <w:vAlign w:val="center"/>
          </w:tcPr>
          <w:p>
            <w:pPr>
              <w:widowControl/>
              <w:jc w:val="both"/>
              <w:rPr>
                <w:rFonts w:hint="default" w:ascii="宋体" w:hAnsi="宋体" w:eastAsia="宋体" w:cs="宋体"/>
                <w:kern w:val="0"/>
                <w:sz w:val="16"/>
                <w:szCs w:val="16"/>
                <w:highlight w:val="yellow"/>
                <w:lang w:val="en-US" w:eastAsia="zh-CN"/>
              </w:rPr>
            </w:pPr>
            <w:r>
              <w:rPr>
                <w:rFonts w:hint="eastAsia" w:ascii="宋体" w:hAnsi="宋体" w:cs="宋体"/>
                <w:kern w:val="0"/>
                <w:sz w:val="16"/>
                <w:szCs w:val="16"/>
                <w:highlight w:val="none"/>
                <w:lang w:val="en-US" w:eastAsia="zh-CN"/>
              </w:rPr>
              <w:t>抵押物已对外租赁，执行清场难度大。</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81"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青岛龙之源环保建材有限公司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i/>
                <w:iCs/>
                <w:kern w:val="0"/>
                <w:sz w:val="16"/>
                <w:szCs w:val="16"/>
                <w:highlight w:val="none"/>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8"/>
                <w:szCs w:val="18"/>
                <w:highlight w:val="none"/>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84,564,188.38</w:t>
            </w:r>
            <w:r>
              <w:rPr>
                <w:rFonts w:hint="eastAsia" w:ascii="Times New Roman" w:hAnsi="Times New Roman" w:eastAsia="宋体" w:cs="Times New Roman"/>
                <w:b w:val="0"/>
                <w:bCs w:val="0"/>
                <w:i w:val="0"/>
                <w:iCs w:val="0"/>
                <w:color w:val="auto"/>
                <w:kern w:val="0"/>
                <w:sz w:val="18"/>
                <w:szCs w:val="18"/>
                <w:highlight w:val="none"/>
                <w:u w:val="none"/>
                <w:lang w:val="en-US" w:eastAsia="zh-CN" w:bidi="ar"/>
              </w:rPr>
              <w:t xml:space="preserve">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auto"/>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60,347,993.03</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卓达房地产集团有限公司、</w:t>
            </w:r>
            <w:r>
              <w:rPr>
                <w:rFonts w:hint="eastAsia" w:ascii="Times New Roman" w:hAnsi="Times New Roman" w:eastAsia="宋体" w:cs="Times New Roman"/>
                <w:i w:val="0"/>
                <w:iCs w:val="0"/>
                <w:color w:val="000000"/>
                <w:kern w:val="0"/>
                <w:sz w:val="16"/>
                <w:szCs w:val="16"/>
                <w:highlight w:val="none"/>
                <w:u w:val="none"/>
                <w:lang w:val="en-US" w:eastAsia="zh-CN" w:bidi="ar"/>
              </w:rPr>
              <w:t>卓达新材料科技集团威海股份有限公司、</w:t>
            </w:r>
            <w:r>
              <w:rPr>
                <w:rFonts w:hint="default" w:ascii="Times New Roman" w:hAnsi="Times New Roman" w:eastAsia="宋体" w:cs="Times New Roman"/>
                <w:i w:val="0"/>
                <w:iCs w:val="0"/>
                <w:color w:val="000000"/>
                <w:kern w:val="0"/>
                <w:sz w:val="16"/>
                <w:szCs w:val="16"/>
                <w:highlight w:val="none"/>
                <w:u w:val="none"/>
                <w:lang w:val="en-US" w:eastAsia="zh-CN" w:bidi="ar"/>
              </w:rPr>
              <w:t>杨卓舒</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default" w:ascii="Times New Roman" w:hAnsi="Times New Roman" w:eastAsia="宋体" w:cs="Times New Roman"/>
                <w:i w:val="0"/>
                <w:iCs w:val="0"/>
                <w:color w:val="000000"/>
                <w:kern w:val="0"/>
                <w:sz w:val="16"/>
                <w:szCs w:val="16"/>
                <w:highlight w:val="none"/>
                <w:u w:val="none"/>
                <w:lang w:val="en-US" w:eastAsia="zh-CN" w:bidi="ar"/>
              </w:rPr>
            </w:pPr>
            <w:r>
              <w:rPr>
                <w:rFonts w:hint="default" w:ascii="Times New Roman" w:hAnsi="Times New Roman" w:eastAsia="宋体" w:cs="Times New Roman"/>
                <w:i w:val="0"/>
                <w:iCs w:val="0"/>
                <w:color w:val="000000"/>
                <w:kern w:val="0"/>
                <w:sz w:val="16"/>
                <w:szCs w:val="16"/>
                <w:highlight w:val="none"/>
                <w:u w:val="none"/>
                <w:lang w:val="en-US" w:eastAsia="zh-CN" w:bidi="ar"/>
              </w:rPr>
              <w:t>工业土地；</w:t>
            </w:r>
          </w:p>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商业房产</w:t>
            </w:r>
          </w:p>
        </w:tc>
        <w:tc>
          <w:tcPr>
            <w:tcW w:w="1912" w:type="dxa"/>
            <w:tcBorders>
              <w:top w:val="single" w:color="auto" w:sz="4" w:space="0"/>
              <w:left w:val="single" w:color="auto" w:sz="4" w:space="0"/>
              <w:bottom w:val="single" w:color="auto" w:sz="4" w:space="0"/>
            </w:tcBorders>
            <w:noWrap w:val="0"/>
            <w:vAlign w:val="center"/>
          </w:tcPr>
          <w:p>
            <w:pPr>
              <w:widowControl/>
              <w:jc w:val="left"/>
              <w:rPr>
                <w:rFonts w:hint="default" w:ascii="Times New Roman" w:hAnsi="Times New Roman" w:eastAsia="宋体" w:cs="Times New Roman"/>
                <w:i w:val="0"/>
                <w:iCs w:val="0"/>
                <w:color w:val="000000"/>
                <w:kern w:val="0"/>
                <w:sz w:val="16"/>
                <w:szCs w:val="16"/>
                <w:highlight w:val="yellow"/>
                <w:u w:val="none"/>
                <w:lang w:val="en-US" w:eastAsia="zh-CN" w:bidi="ar"/>
              </w:rPr>
            </w:pPr>
            <w:r>
              <w:rPr>
                <w:rFonts w:hint="eastAsia" w:ascii="Times New Roman" w:hAnsi="Times New Roman" w:cs="Times New Roman"/>
                <w:i w:val="0"/>
                <w:iCs w:val="0"/>
                <w:color w:val="000000"/>
                <w:kern w:val="0"/>
                <w:sz w:val="16"/>
                <w:szCs w:val="16"/>
                <w:highlight w:val="none"/>
                <w:u w:val="none"/>
                <w:lang w:val="en-US" w:eastAsia="zh-CN" w:bidi="ar"/>
              </w:rPr>
              <w:t>工业土地附着房产为无证房产，且抵押物系涉嫌非法吸收公众存款案件涉案资产，后续存在无法执行风险。</w:t>
            </w:r>
            <w:r>
              <w:rPr>
                <w:rFonts w:hint="default" w:ascii="Times New Roman" w:hAnsi="Times New Roman" w:eastAsia="宋体" w:cs="Times New Roman"/>
                <w:i w:val="0"/>
                <w:iCs w:val="0"/>
                <w:color w:val="000000"/>
                <w:kern w:val="0"/>
                <w:sz w:val="16"/>
                <w:szCs w:val="16"/>
                <w:highlight w:val="none"/>
                <w:u w:val="none"/>
                <w:lang w:val="en-US" w:eastAsia="zh-CN" w:bidi="ar"/>
              </w:rPr>
              <w:t xml:space="preserve">                  </w:t>
            </w:r>
            <w:r>
              <w:rPr>
                <w:rFonts w:hint="default" w:ascii="Times New Roman" w:hAnsi="Times New Roman" w:eastAsia="宋体" w:cs="Times New Roman"/>
                <w:i w:val="0"/>
                <w:iCs w:val="0"/>
                <w:color w:val="000000"/>
                <w:kern w:val="0"/>
                <w:sz w:val="16"/>
                <w:szCs w:val="16"/>
                <w:highlight w:val="yellow"/>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5</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青岛顺事达房地产开发有限公司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8"/>
                <w:szCs w:val="18"/>
                <w:highlight w:val="none"/>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 xml:space="preserve">5,435,053.95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auto"/>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26,348,722.70</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青岛顺事达房地产开发有限公司</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在建工程</w:t>
            </w:r>
          </w:p>
        </w:tc>
        <w:tc>
          <w:tcPr>
            <w:tcW w:w="1912" w:type="dxa"/>
            <w:tcBorders>
              <w:top w:val="single" w:color="auto" w:sz="4" w:space="0"/>
              <w:left w:val="single" w:color="auto" w:sz="4" w:space="0"/>
              <w:bottom w:val="single" w:color="auto" w:sz="4" w:space="0"/>
            </w:tcBorders>
            <w:noWrap w:val="0"/>
            <w:vAlign w:val="center"/>
          </w:tcPr>
          <w:p>
            <w:pPr>
              <w:widowControl/>
              <w:jc w:val="both"/>
              <w:rPr>
                <w:rFonts w:hint="default" w:ascii="Times New Roman" w:hAnsi="Times New Roman" w:eastAsia="宋体" w:cs="Times New Roman"/>
                <w:i w:val="0"/>
                <w:iCs w:val="0"/>
                <w:color w:val="000000"/>
                <w:kern w:val="0"/>
                <w:sz w:val="16"/>
                <w:szCs w:val="16"/>
                <w:highlight w:val="yellow"/>
                <w:u w:val="none"/>
                <w:lang w:val="en-US" w:eastAsia="zh-CN" w:bidi="ar"/>
              </w:rPr>
            </w:pPr>
            <w:r>
              <w:rPr>
                <w:rFonts w:hint="eastAsia" w:ascii="Times New Roman" w:hAnsi="Times New Roman" w:cs="Times New Roman"/>
                <w:i w:val="0"/>
                <w:iCs w:val="0"/>
                <w:color w:val="000000"/>
                <w:kern w:val="0"/>
                <w:sz w:val="16"/>
                <w:szCs w:val="16"/>
                <w:highlight w:val="none"/>
                <w:u w:val="none"/>
                <w:lang w:val="en-US" w:eastAsia="zh-CN" w:bidi="ar"/>
              </w:rPr>
              <w:t>抵押房产存在私售、购房人提起执行异议的情形，存在抵押权无法实现的风险。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6</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禧徕乐（青岛）投资发展有限公司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kern w:val="0"/>
                <w:sz w:val="18"/>
                <w:szCs w:val="18"/>
                <w:highlight w:val="none"/>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 xml:space="preserve">365,366,501.21 </w:t>
            </w:r>
            <w:r>
              <w:rPr>
                <w:rFonts w:hint="eastAsia" w:ascii="Times New Roman" w:hAnsi="Times New Roman" w:eastAsia="宋体" w:cs="Times New Roman"/>
                <w:b w:val="0"/>
                <w:bCs w:val="0"/>
                <w:i w:val="0"/>
                <w:iCs w:val="0"/>
                <w:color w:val="auto"/>
                <w:kern w:val="0"/>
                <w:sz w:val="18"/>
                <w:szCs w:val="18"/>
                <w:highlight w:val="none"/>
                <w:u w:val="none"/>
                <w:lang w:val="en-US" w:eastAsia="zh-CN" w:bidi="ar"/>
              </w:rPr>
              <w:t xml:space="preserve">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auto"/>
                <w:kern w:val="0"/>
                <w:sz w:val="18"/>
                <w:szCs w:val="18"/>
                <w:highlight w:val="none"/>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727,454,878.29</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6"/>
                <w:szCs w:val="16"/>
                <w:highlight w:val="none"/>
              </w:rPr>
            </w:pPr>
            <w:r>
              <w:rPr>
                <w:rFonts w:hint="eastAsia" w:ascii="Times New Roman" w:hAnsi="Times New Roman" w:eastAsia="宋体" w:cs="Times New Roman"/>
                <w:i w:val="0"/>
                <w:iCs w:val="0"/>
                <w:color w:val="000000"/>
                <w:kern w:val="0"/>
                <w:sz w:val="16"/>
                <w:szCs w:val="16"/>
                <w:highlight w:val="none"/>
                <w:u w:val="none"/>
                <w:lang w:val="en-US" w:eastAsia="zh-CN" w:bidi="ar"/>
              </w:rPr>
              <w:t>禧徕乐（青岛）投资发展有限公司、</w:t>
            </w:r>
            <w:r>
              <w:rPr>
                <w:rFonts w:hint="default" w:ascii="Times New Roman" w:hAnsi="Times New Roman" w:eastAsia="宋体" w:cs="Times New Roman"/>
                <w:i w:val="0"/>
                <w:iCs w:val="0"/>
                <w:color w:val="000000"/>
                <w:kern w:val="0"/>
                <w:sz w:val="16"/>
                <w:szCs w:val="16"/>
                <w:highlight w:val="none"/>
                <w:u w:val="none"/>
                <w:lang w:val="en-US" w:eastAsia="zh-CN" w:bidi="ar"/>
              </w:rPr>
              <w:t>上海禧徕乐（集团）有限公司、禧徕乐投资发展有限公司、青岛禧徕乐汇丰投资有限公司、淮安禧徕乐投资发展有限公司、青岛禧徕乐商贸有限公司、青岛禧徕乐国际家居博览城经营管理有限公司、禧徕乐投资发展宿迁有限公司、杨成义、张仁良、冯义忠、高玉顺、孙丽琴、倪法川</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default" w:ascii="Times New Roman" w:hAnsi="Times New Roman" w:eastAsia="宋体" w:cs="Times New Roman"/>
                <w:i w:val="0"/>
                <w:iCs w:val="0"/>
                <w:color w:val="000000"/>
                <w:kern w:val="0"/>
                <w:sz w:val="16"/>
                <w:szCs w:val="16"/>
                <w:highlight w:val="none"/>
                <w:u w:val="none"/>
                <w:lang w:val="en-US" w:eastAsia="zh-CN" w:bidi="ar"/>
              </w:rPr>
            </w:pPr>
            <w:r>
              <w:rPr>
                <w:rFonts w:hint="default" w:ascii="Times New Roman" w:hAnsi="Times New Roman" w:eastAsia="宋体" w:cs="Times New Roman"/>
                <w:i w:val="0"/>
                <w:iCs w:val="0"/>
                <w:color w:val="000000"/>
                <w:kern w:val="0"/>
                <w:sz w:val="16"/>
                <w:szCs w:val="16"/>
                <w:highlight w:val="none"/>
                <w:u w:val="none"/>
                <w:lang w:val="en-US" w:eastAsia="zh-CN" w:bidi="ar"/>
              </w:rPr>
              <w:t>在建工程；</w:t>
            </w:r>
          </w:p>
          <w:p>
            <w:pPr>
              <w:widowControl/>
              <w:jc w:val="center"/>
              <w:rPr>
                <w:rFonts w:ascii="宋体" w:hAnsi="宋体" w:cs="宋体"/>
                <w:kern w:val="0"/>
                <w:sz w:val="16"/>
                <w:szCs w:val="16"/>
                <w:highlight w:val="none"/>
              </w:rPr>
            </w:pPr>
            <w:r>
              <w:rPr>
                <w:rFonts w:hint="default" w:ascii="Times New Roman" w:hAnsi="Times New Roman" w:eastAsia="宋体" w:cs="Times New Roman"/>
                <w:i w:val="0"/>
                <w:iCs w:val="0"/>
                <w:color w:val="000000"/>
                <w:kern w:val="0"/>
                <w:sz w:val="16"/>
                <w:szCs w:val="16"/>
                <w:highlight w:val="none"/>
                <w:u w:val="none"/>
                <w:lang w:val="en-US" w:eastAsia="zh-CN" w:bidi="ar"/>
              </w:rPr>
              <w:t>商业房产</w:t>
            </w:r>
          </w:p>
        </w:tc>
        <w:tc>
          <w:tcPr>
            <w:tcW w:w="1912" w:type="dxa"/>
            <w:tcBorders>
              <w:top w:val="single" w:color="auto" w:sz="4" w:space="0"/>
              <w:left w:val="single" w:color="auto" w:sz="4" w:space="0"/>
              <w:bottom w:val="single" w:color="auto" w:sz="4" w:space="0"/>
            </w:tcBorders>
            <w:noWrap w:val="0"/>
            <w:vAlign w:val="center"/>
          </w:tcPr>
          <w:p>
            <w:pPr>
              <w:widowControl/>
              <w:jc w:val="both"/>
              <w:rPr>
                <w:rFonts w:hint="default" w:ascii="Times New Roman" w:hAnsi="Times New Roman" w:eastAsia="宋体" w:cs="Times New Roman"/>
                <w:i w:val="0"/>
                <w:iCs w:val="0"/>
                <w:color w:val="000000"/>
                <w:kern w:val="0"/>
                <w:sz w:val="16"/>
                <w:szCs w:val="16"/>
                <w:highlight w:val="yellow"/>
                <w:u w:val="none"/>
                <w:lang w:val="en-US" w:eastAsia="zh-CN" w:bidi="ar"/>
              </w:rPr>
            </w:pPr>
            <w:r>
              <w:rPr>
                <w:rFonts w:hint="eastAsia" w:ascii="Times New Roman" w:hAnsi="Times New Roman" w:cs="Times New Roman"/>
                <w:i w:val="0"/>
                <w:iCs w:val="0"/>
                <w:color w:val="000000"/>
                <w:kern w:val="0"/>
                <w:sz w:val="16"/>
                <w:szCs w:val="16"/>
                <w:highlight w:val="none"/>
                <w:u w:val="none"/>
                <w:lang w:val="en-US" w:eastAsia="zh-CN" w:bidi="ar"/>
              </w:rPr>
              <w:t>抵押房产存在私售、购房人提起执行异议、被抵账占用情形，且债权存在保证人时效抗辩风险。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7</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i w:val="0"/>
                <w:iCs w:val="0"/>
                <w:color w:val="000000"/>
                <w:kern w:val="0"/>
                <w:sz w:val="16"/>
                <w:szCs w:val="16"/>
                <w:highlight w:val="none"/>
                <w:u w:val="none"/>
                <w:lang w:val="en-US" w:eastAsia="zh-CN" w:bidi="ar"/>
              </w:rPr>
            </w:pPr>
            <w:r>
              <w:rPr>
                <w:rFonts w:hint="default" w:ascii="Times New Roman" w:hAnsi="Times New Roman" w:eastAsia="宋体" w:cs="Times New Roman"/>
                <w:i w:val="0"/>
                <w:iCs w:val="0"/>
                <w:color w:val="000000"/>
                <w:kern w:val="0"/>
                <w:sz w:val="16"/>
                <w:szCs w:val="16"/>
                <w:highlight w:val="none"/>
                <w:u w:val="none"/>
                <w:lang w:val="en-US" w:eastAsia="zh-CN" w:bidi="ar"/>
              </w:rPr>
              <w:t>青岛春明调味品有限公司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kern w:val="0"/>
                <w:sz w:val="16"/>
                <w:szCs w:val="16"/>
                <w:highlight w:val="none"/>
                <w:lang w:val="en-US" w:eastAsia="zh-CN"/>
              </w:rPr>
            </w:pPr>
            <w:r>
              <w:rPr>
                <w:rFonts w:hint="eastAsia" w:ascii="宋体" w:hAnsi="宋体" w:eastAsia="宋体" w:cs="宋体"/>
                <w:kern w:val="0"/>
                <w:sz w:val="16"/>
                <w:szCs w:val="16"/>
                <w:highlight w:val="none"/>
                <w:lang w:val="en-US" w:eastAsia="zh-CN"/>
              </w:rPr>
              <w:t>青岛</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000000"/>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 xml:space="preserve">61,990,000.00 </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i w:val="0"/>
                <w:iCs w:val="0"/>
                <w:color w:val="auto"/>
                <w:kern w:val="2"/>
                <w:sz w:val="22"/>
                <w:szCs w:val="22"/>
                <w:highlight w:val="none"/>
                <w:u w:val="none"/>
                <w:lang w:val="en-US" w:eastAsia="zh-CN" w:bidi="ar-SA"/>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20,438,507.40</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val="0"/>
                <w:bCs w:val="0"/>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6"/>
                <w:szCs w:val="16"/>
                <w:highlight w:val="none"/>
                <w:u w:val="none"/>
                <w:lang w:val="en-US" w:eastAsia="zh-CN" w:bidi="ar"/>
              </w:rPr>
              <w:t>青岛春明调味品有限公司、青岛百年家良食品有限公司、</w:t>
            </w:r>
            <w:r>
              <w:rPr>
                <w:rFonts w:hint="default" w:ascii="Times New Roman" w:hAnsi="Times New Roman" w:eastAsia="宋体" w:cs="Times New Roman"/>
                <w:i w:val="0"/>
                <w:iCs w:val="0"/>
                <w:color w:val="000000"/>
                <w:kern w:val="0"/>
                <w:sz w:val="16"/>
                <w:szCs w:val="16"/>
                <w:highlight w:val="none"/>
                <w:u w:val="none"/>
                <w:lang w:val="en-US" w:eastAsia="zh-CN" w:bidi="ar"/>
              </w:rPr>
              <w:t>张家福、郭金梅</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default" w:ascii="宋体" w:hAnsi="宋体" w:eastAsia="宋体" w:cs="宋体"/>
                <w:kern w:val="0"/>
                <w:sz w:val="16"/>
                <w:szCs w:val="16"/>
                <w:highlight w:val="none"/>
                <w:lang w:val="en-US" w:eastAsia="zh-CN"/>
              </w:rPr>
            </w:pPr>
            <w:r>
              <w:rPr>
                <w:rFonts w:hint="default" w:ascii="Times New Roman" w:hAnsi="Times New Roman" w:eastAsia="宋体" w:cs="Times New Roman"/>
                <w:i w:val="0"/>
                <w:iCs w:val="0"/>
                <w:color w:val="000000"/>
                <w:kern w:val="0"/>
                <w:sz w:val="16"/>
                <w:szCs w:val="16"/>
                <w:highlight w:val="none"/>
                <w:u w:val="none"/>
                <w:lang w:val="en-US" w:eastAsia="zh-CN" w:bidi="ar"/>
              </w:rPr>
              <w:t>工业房地产；商业网点</w:t>
            </w:r>
          </w:p>
        </w:tc>
        <w:tc>
          <w:tcPr>
            <w:tcW w:w="1912" w:type="dxa"/>
            <w:tcBorders>
              <w:top w:val="single" w:color="auto" w:sz="4" w:space="0"/>
              <w:left w:val="single" w:color="auto" w:sz="4" w:space="0"/>
              <w:bottom w:val="single" w:color="auto" w:sz="4" w:space="0"/>
            </w:tcBorders>
            <w:noWrap w:val="0"/>
            <w:vAlign w:val="center"/>
          </w:tcPr>
          <w:p>
            <w:pPr>
              <w:widowControl/>
              <w:jc w:val="left"/>
              <w:rPr>
                <w:rFonts w:hint="default" w:ascii="宋体" w:hAnsi="宋体" w:eastAsia="宋体" w:cs="宋体"/>
                <w:kern w:val="0"/>
                <w:sz w:val="16"/>
                <w:szCs w:val="16"/>
                <w:highlight w:val="yellow"/>
                <w:lang w:val="en-US" w:eastAsia="zh-CN"/>
              </w:rPr>
            </w:pPr>
            <w:r>
              <w:rPr>
                <w:rFonts w:hint="eastAsia" w:ascii="宋体" w:hAnsi="宋体" w:cs="宋体"/>
                <w:kern w:val="0"/>
                <w:sz w:val="16"/>
                <w:szCs w:val="16"/>
                <w:highlight w:val="none"/>
                <w:lang w:val="en-US" w:eastAsia="zh-CN"/>
              </w:rPr>
              <w:t>商业网点已对外租赁，执行清场难度大。债权前期转让未邮寄送达债务人，存在一定通知瑕疵。</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18"/>
                <w:szCs w:val="18"/>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8</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highlight w:val="none"/>
                <w:u w:val="none"/>
                <w:lang w:val="en-US" w:eastAsia="zh-CN" w:bidi="ar"/>
              </w:rPr>
            </w:pPr>
            <w:r>
              <w:rPr>
                <w:rFonts w:hint="eastAsia" w:ascii="Times New Roman" w:hAnsi="Times New Roman" w:eastAsia="宋体" w:cs="Times New Roman"/>
                <w:i w:val="0"/>
                <w:iCs w:val="0"/>
                <w:color w:val="000000"/>
                <w:kern w:val="0"/>
                <w:sz w:val="16"/>
                <w:szCs w:val="16"/>
                <w:highlight w:val="none"/>
                <w:u w:val="none"/>
                <w:lang w:val="en-US" w:eastAsia="zh-CN" w:bidi="ar"/>
              </w:rPr>
              <w:t>山东滨州浩然制针有限公司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宋体" w:hAnsi="宋体" w:eastAsia="宋体" w:cs="宋体"/>
                <w:kern w:val="0"/>
                <w:sz w:val="16"/>
                <w:szCs w:val="16"/>
                <w:highlight w:val="none"/>
                <w:lang w:val="en-US" w:eastAsia="zh-CN"/>
              </w:rPr>
              <w:t>滨州</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val="0"/>
                <w:bCs w:val="0"/>
                <w:i w:val="0"/>
                <w:iCs w:val="0"/>
                <w:color w:val="000000"/>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880,000.00</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281,504.05</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李立、李向南、山东滨州浩然制针有限公司</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机器设备</w:t>
            </w:r>
          </w:p>
        </w:tc>
        <w:tc>
          <w:tcPr>
            <w:tcW w:w="1912" w:type="dxa"/>
            <w:tcBorders>
              <w:top w:val="single" w:color="auto" w:sz="4" w:space="0"/>
              <w:left w:val="single" w:color="auto" w:sz="4" w:space="0"/>
              <w:bottom w:val="single" w:color="auto" w:sz="4" w:space="0"/>
            </w:tcBorders>
            <w:noWrap w:val="0"/>
            <w:vAlign w:val="center"/>
          </w:tcPr>
          <w:p>
            <w:pPr>
              <w:widowControl/>
              <w:jc w:val="left"/>
              <w:rPr>
                <w:rFonts w:hint="default" w:ascii="宋体" w:hAnsi="宋体" w:eastAsia="宋体" w:cs="宋体"/>
                <w:kern w:val="0"/>
                <w:sz w:val="16"/>
                <w:szCs w:val="16"/>
                <w:highlight w:val="yellow"/>
                <w:lang w:val="en-US" w:eastAsia="zh-CN"/>
              </w:rPr>
            </w:pPr>
            <w:r>
              <w:rPr>
                <w:rFonts w:hint="eastAsia" w:ascii="宋体" w:hAnsi="宋体" w:cs="宋体"/>
                <w:kern w:val="0"/>
                <w:sz w:val="16"/>
                <w:szCs w:val="16"/>
                <w:highlight w:val="none"/>
                <w:lang w:val="en-US" w:eastAsia="zh-CN"/>
              </w:rPr>
              <w:t>抵押设备存在灭失风险。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18"/>
                <w:szCs w:val="18"/>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9</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highlight w:val="none"/>
                <w:u w:val="none"/>
                <w:lang w:val="en-US" w:eastAsia="zh-CN" w:bidi="ar"/>
              </w:rPr>
            </w:pPr>
            <w:r>
              <w:rPr>
                <w:rFonts w:hint="eastAsia" w:ascii="Times New Roman" w:hAnsi="Times New Roman" w:eastAsia="宋体" w:cs="Times New Roman"/>
                <w:i w:val="0"/>
                <w:iCs w:val="0"/>
                <w:color w:val="000000"/>
                <w:kern w:val="0"/>
                <w:sz w:val="16"/>
                <w:szCs w:val="16"/>
                <w:highlight w:val="none"/>
                <w:u w:val="none"/>
                <w:lang w:val="en-US" w:eastAsia="zh-CN" w:bidi="ar"/>
              </w:rPr>
              <w:t>山东滨州华冠筛网有限公司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宋体" w:hAnsi="宋体" w:eastAsia="宋体" w:cs="宋体"/>
                <w:kern w:val="0"/>
                <w:sz w:val="16"/>
                <w:szCs w:val="16"/>
                <w:highlight w:val="none"/>
                <w:lang w:val="en-US" w:eastAsia="zh-CN"/>
              </w:rPr>
              <w:t>滨州</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val="0"/>
                <w:bCs w:val="0"/>
                <w:i w:val="0"/>
                <w:iCs w:val="0"/>
                <w:color w:val="000000"/>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151,963.86</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45,656.97</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代俊芳</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无</w:t>
            </w:r>
          </w:p>
        </w:tc>
        <w:tc>
          <w:tcPr>
            <w:tcW w:w="1912"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eastAsia="宋体" w:cs="宋体"/>
                <w:kern w:val="0"/>
                <w:sz w:val="16"/>
                <w:szCs w:val="16"/>
                <w:highlight w:val="yellow"/>
                <w:lang w:val="en-US" w:eastAsia="zh-CN"/>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0" w:hRule="atLeast"/>
          <w:jc w:val="center"/>
        </w:trPr>
        <w:tc>
          <w:tcPr>
            <w:tcW w:w="580" w:type="dxa"/>
            <w:tcBorders>
              <w:top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18"/>
                <w:szCs w:val="18"/>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10</w:t>
            </w:r>
          </w:p>
        </w:tc>
        <w:tc>
          <w:tcPr>
            <w:tcW w:w="1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highlight w:val="none"/>
                <w:u w:val="none"/>
                <w:lang w:val="en-US" w:eastAsia="zh-CN" w:bidi="ar"/>
              </w:rPr>
            </w:pPr>
            <w:r>
              <w:rPr>
                <w:rFonts w:hint="eastAsia" w:ascii="Times New Roman" w:hAnsi="Times New Roman" w:eastAsia="宋体" w:cs="Times New Roman"/>
                <w:i w:val="0"/>
                <w:iCs w:val="0"/>
                <w:color w:val="000000"/>
                <w:kern w:val="0"/>
                <w:sz w:val="16"/>
                <w:szCs w:val="16"/>
                <w:highlight w:val="none"/>
                <w:u w:val="none"/>
                <w:lang w:val="en-US" w:eastAsia="zh-CN" w:bidi="ar"/>
              </w:rPr>
              <w:t>山东金大沥青销售有限公司</w:t>
            </w:r>
          </w:p>
        </w:tc>
        <w:tc>
          <w:tcPr>
            <w:tcW w:w="7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宋体" w:hAnsi="宋体" w:eastAsia="宋体" w:cs="宋体"/>
                <w:kern w:val="0"/>
                <w:sz w:val="16"/>
                <w:szCs w:val="16"/>
                <w:highlight w:val="none"/>
                <w:lang w:val="en-US" w:eastAsia="zh-CN"/>
              </w:rPr>
              <w:t>滨州</w:t>
            </w:r>
          </w:p>
        </w:tc>
        <w:tc>
          <w:tcPr>
            <w:tcW w:w="13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val="0"/>
                <w:bCs w:val="0"/>
                <w:i w:val="0"/>
                <w:iCs w:val="0"/>
                <w:color w:val="000000"/>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375,918.73</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ascii="Times New Roman" w:hAnsi="Times New Roman" w:eastAsia="宋体" w:cs="Times New Roman"/>
                <w:b w:val="0"/>
                <w:bCs w:val="0"/>
                <w:i w:val="0"/>
                <w:iCs w:val="0"/>
                <w:color w:val="auto"/>
                <w:kern w:val="0"/>
                <w:sz w:val="18"/>
                <w:szCs w:val="18"/>
                <w:highlight w:val="none"/>
                <w:u w:val="none"/>
                <w:lang w:val="en-US" w:eastAsia="zh-CN" w:bidi="ar"/>
              </w:rPr>
              <w:t>100,837.58</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王立三、崔春英</w:t>
            </w:r>
          </w:p>
        </w:tc>
        <w:tc>
          <w:tcPr>
            <w:tcW w:w="1084"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eastAsia="宋体" w:cs="宋体"/>
                <w:kern w:val="0"/>
                <w:sz w:val="16"/>
                <w:szCs w:val="16"/>
                <w:highlight w:val="none"/>
                <w:lang w:val="en-US" w:eastAsia="zh-CN"/>
              </w:rPr>
            </w:pPr>
            <w:r>
              <w:rPr>
                <w:rFonts w:hint="eastAsia" w:ascii="Times New Roman" w:hAnsi="Times New Roman" w:eastAsia="宋体" w:cs="Times New Roman"/>
                <w:i w:val="0"/>
                <w:iCs w:val="0"/>
                <w:color w:val="000000"/>
                <w:kern w:val="0"/>
                <w:sz w:val="16"/>
                <w:szCs w:val="16"/>
                <w:highlight w:val="none"/>
                <w:u w:val="none"/>
                <w:lang w:val="en-US" w:eastAsia="zh-CN" w:bidi="ar"/>
              </w:rPr>
              <w:t>无</w:t>
            </w:r>
          </w:p>
        </w:tc>
        <w:tc>
          <w:tcPr>
            <w:tcW w:w="1912" w:type="dxa"/>
            <w:tcBorders>
              <w:top w:val="single" w:color="auto" w:sz="4" w:space="0"/>
              <w:left w:val="single" w:color="auto" w:sz="4" w:space="0"/>
              <w:bottom w:val="single" w:color="auto" w:sz="4" w:space="0"/>
            </w:tcBorders>
            <w:noWrap w:val="0"/>
            <w:vAlign w:val="center"/>
          </w:tcPr>
          <w:p>
            <w:pPr>
              <w:widowControl/>
              <w:jc w:val="center"/>
              <w:rPr>
                <w:rFonts w:hint="eastAsia" w:ascii="宋体" w:hAnsi="宋体" w:eastAsia="宋体" w:cs="宋体"/>
                <w:kern w:val="0"/>
                <w:sz w:val="16"/>
                <w:szCs w:val="16"/>
                <w:highlight w:val="yellow"/>
                <w:lang w:val="en-US" w:eastAsia="zh-CN"/>
              </w:rPr>
            </w:pPr>
          </w:p>
        </w:tc>
      </w:tr>
    </w:tbl>
    <w:p>
      <w:pPr>
        <w:widowControl/>
        <w:spacing w:line="360" w:lineRule="auto"/>
        <w:ind w:firstLine="480" w:firstLineChars="200"/>
        <w:jc w:val="both"/>
        <w:rPr>
          <w:rFonts w:hint="eastAsia" w:ascii="宋体" w:hAnsi="宋体" w:cs="宋体"/>
          <w:kern w:val="0"/>
          <w:sz w:val="24"/>
          <w:szCs w:val="24"/>
          <w:highlight w:val="none"/>
        </w:rPr>
      </w:pPr>
      <w:r>
        <w:rPr>
          <w:rFonts w:hint="eastAsia" w:ascii="宋体" w:hAnsi="宋体" w:cs="宋体"/>
          <w:kern w:val="0"/>
          <w:sz w:val="24"/>
          <w:szCs w:val="24"/>
          <w:highlight w:val="none"/>
        </w:rPr>
        <w:t>注：1</w:t>
      </w:r>
      <w:r>
        <w:rPr>
          <w:rFonts w:hint="eastAsia" w:ascii="宋体" w:hAnsi="宋体" w:cs="宋体"/>
          <w:kern w:val="0"/>
          <w:sz w:val="24"/>
          <w:szCs w:val="24"/>
          <w:highlight w:val="none"/>
          <w:lang w:val="en-US" w:eastAsia="zh-CN"/>
        </w:rPr>
        <w:t>.</w:t>
      </w:r>
      <w:r>
        <w:rPr>
          <w:rFonts w:hint="eastAsia" w:ascii="宋体" w:hAnsi="宋体" w:cs="宋体"/>
          <w:kern w:val="0"/>
          <w:sz w:val="24"/>
          <w:szCs w:val="24"/>
          <w:highlight w:val="none"/>
        </w:rPr>
        <w:t>本公告清单仅列示截至基准日的</w:t>
      </w:r>
      <w:r>
        <w:rPr>
          <w:rFonts w:hint="eastAsia" w:ascii="宋体" w:hAnsi="宋体" w:cs="宋体"/>
          <w:kern w:val="0"/>
          <w:sz w:val="24"/>
          <w:szCs w:val="24"/>
          <w:highlight w:val="none"/>
          <w:lang w:val="en-US" w:eastAsia="zh-CN"/>
        </w:rPr>
        <w:t>债权</w:t>
      </w:r>
      <w:r>
        <w:rPr>
          <w:rFonts w:hint="eastAsia" w:ascii="宋体" w:hAnsi="宋体" w:cs="宋体"/>
          <w:kern w:val="0"/>
          <w:sz w:val="24"/>
          <w:szCs w:val="24"/>
          <w:highlight w:val="none"/>
        </w:rPr>
        <w:t>本金、利息余额，基准日后</w:t>
      </w:r>
      <w:r>
        <w:rPr>
          <w:rFonts w:hint="eastAsia" w:ascii="宋体" w:hAnsi="宋体" w:cs="宋体"/>
          <w:kern w:val="0"/>
          <w:sz w:val="24"/>
          <w:szCs w:val="24"/>
          <w:highlight w:val="none"/>
          <w:lang w:val="en-US" w:eastAsia="zh-CN"/>
        </w:rPr>
        <w:t>债务</w:t>
      </w:r>
      <w:r>
        <w:rPr>
          <w:rFonts w:hint="eastAsia" w:ascii="宋体" w:hAnsi="宋体" w:cs="宋体"/>
          <w:kern w:val="0"/>
          <w:sz w:val="24"/>
          <w:szCs w:val="24"/>
          <w:highlight w:val="none"/>
        </w:rPr>
        <w:t>人和担保人应支付的利息、违约金、相关费用等按照相关合同、生效法律文书及法律法规的规定计算。</w:t>
      </w:r>
    </w:p>
    <w:p>
      <w:pPr>
        <w:widowControl/>
        <w:numPr>
          <w:ilvl w:val="-1"/>
          <w:numId w:val="0"/>
        </w:numPr>
        <w:spacing w:line="360" w:lineRule="auto"/>
        <w:ind w:firstLine="480" w:firstLineChars="200"/>
        <w:jc w:val="both"/>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2.</w:t>
      </w:r>
      <w:r>
        <w:rPr>
          <w:rFonts w:hint="eastAsia" w:ascii="宋体" w:hAnsi="宋体" w:cs="宋体"/>
          <w:kern w:val="0"/>
          <w:sz w:val="24"/>
          <w:szCs w:val="24"/>
          <w:highlight w:val="none"/>
        </w:rPr>
        <w:t>若</w:t>
      </w:r>
      <w:r>
        <w:rPr>
          <w:rFonts w:hint="eastAsia" w:ascii="宋体" w:hAnsi="宋体" w:cs="宋体"/>
          <w:kern w:val="0"/>
          <w:sz w:val="24"/>
          <w:szCs w:val="24"/>
          <w:highlight w:val="none"/>
          <w:lang w:val="en-US" w:eastAsia="zh-CN"/>
        </w:rPr>
        <w:t>债务</w:t>
      </w:r>
      <w:r>
        <w:rPr>
          <w:rFonts w:hint="eastAsia" w:ascii="宋体" w:hAnsi="宋体" w:cs="宋体"/>
          <w:kern w:val="0"/>
          <w:sz w:val="24"/>
          <w:szCs w:val="24"/>
          <w:highlight w:val="none"/>
        </w:rPr>
        <w:t>人、担保人因各种原因更名、改制、歇业、吊销营业执照或丧失民事主体资格的，请相关承债主体及/或主管部门代为履行义务或履行清算责任。</w:t>
      </w:r>
      <w:r>
        <w:rPr>
          <w:rFonts w:hint="default" w:ascii="Times New Roman" w:hAnsi="Times New Roman" w:eastAsia="宋体" w:cs="Times New Roman"/>
          <w:sz w:val="24"/>
          <w:szCs w:val="24"/>
          <w:highlight w:val="none"/>
        </w:rPr>
        <w:t>若本清单中</w:t>
      </w:r>
      <w:r>
        <w:rPr>
          <w:rFonts w:hint="eastAsia" w:ascii="Times New Roman" w:hAnsi="Times New Roman" w:cs="Times New Roman"/>
          <w:sz w:val="24"/>
          <w:szCs w:val="24"/>
          <w:highlight w:val="none"/>
          <w:lang w:val="en-US" w:eastAsia="zh-CN"/>
        </w:rPr>
        <w:t>担保</w:t>
      </w:r>
      <w:r>
        <w:rPr>
          <w:rFonts w:hint="default" w:ascii="Times New Roman" w:hAnsi="Times New Roman" w:eastAsia="宋体" w:cs="Times New Roman"/>
          <w:sz w:val="24"/>
          <w:szCs w:val="24"/>
          <w:highlight w:val="none"/>
        </w:rPr>
        <w:t>人名单出现遗漏</w:t>
      </w:r>
      <w:r>
        <w:rPr>
          <w:rFonts w:hint="eastAsia" w:ascii="Times New Roman" w:hAnsi="Times New Roman" w:cs="Times New Roman"/>
          <w:sz w:val="24"/>
          <w:szCs w:val="24"/>
          <w:highlight w:val="none"/>
          <w:lang w:eastAsia="zh-CN"/>
        </w:rPr>
        <w:t>、</w:t>
      </w:r>
      <w:r>
        <w:rPr>
          <w:rFonts w:hint="default" w:ascii="Times New Roman" w:hAnsi="Times New Roman" w:eastAsia="宋体" w:cs="Times New Roman"/>
          <w:sz w:val="24"/>
          <w:szCs w:val="24"/>
          <w:highlight w:val="none"/>
        </w:rPr>
        <w:t>笔误的，并不意味着</w:t>
      </w:r>
      <w:r>
        <w:rPr>
          <w:rFonts w:hint="eastAsia" w:ascii="Times New Roman" w:hAnsi="Times New Roman" w:cs="Times New Roman"/>
          <w:sz w:val="24"/>
          <w:szCs w:val="24"/>
          <w:highlight w:val="none"/>
          <w:lang w:val="en-US" w:eastAsia="zh-CN"/>
        </w:rPr>
        <w:t>本</w:t>
      </w:r>
      <w:r>
        <w:rPr>
          <w:rFonts w:hint="default" w:ascii="Times New Roman" w:hAnsi="Times New Roman" w:eastAsia="宋体" w:cs="Times New Roman"/>
          <w:sz w:val="24"/>
          <w:szCs w:val="24"/>
          <w:highlight w:val="none"/>
        </w:rPr>
        <w:t>公司对其</w:t>
      </w:r>
      <w:r>
        <w:rPr>
          <w:rFonts w:hint="eastAsia" w:ascii="Times New Roman" w:hAnsi="Times New Roman" w:cs="Times New Roman"/>
          <w:sz w:val="24"/>
          <w:szCs w:val="24"/>
          <w:highlight w:val="none"/>
          <w:lang w:val="en-US" w:eastAsia="zh-CN"/>
        </w:rPr>
        <w:t>担保</w:t>
      </w:r>
      <w:r>
        <w:rPr>
          <w:rFonts w:hint="default" w:ascii="Times New Roman" w:hAnsi="Times New Roman" w:eastAsia="宋体" w:cs="Times New Roman"/>
          <w:sz w:val="24"/>
          <w:szCs w:val="24"/>
          <w:highlight w:val="none"/>
        </w:rPr>
        <w:t>责任的免除，</w:t>
      </w:r>
      <w:r>
        <w:rPr>
          <w:rFonts w:hint="eastAsia" w:ascii="Times New Roman" w:hAnsi="Times New Roman" w:cs="Times New Roman"/>
          <w:sz w:val="24"/>
          <w:szCs w:val="24"/>
          <w:highlight w:val="none"/>
          <w:lang w:val="en-US" w:eastAsia="zh-CN"/>
        </w:rPr>
        <w:t>担保</w:t>
      </w:r>
      <w:r>
        <w:rPr>
          <w:rFonts w:hint="default" w:ascii="Times New Roman" w:hAnsi="Times New Roman" w:eastAsia="宋体" w:cs="Times New Roman"/>
          <w:sz w:val="24"/>
          <w:szCs w:val="24"/>
          <w:highlight w:val="none"/>
        </w:rPr>
        <w:t>人仍须按合同约定及法律规定履行</w:t>
      </w:r>
      <w:r>
        <w:rPr>
          <w:rFonts w:hint="eastAsia" w:ascii="Times New Roman" w:hAnsi="Times New Roman" w:cs="Times New Roman"/>
          <w:sz w:val="24"/>
          <w:szCs w:val="24"/>
          <w:highlight w:val="none"/>
          <w:lang w:val="en-US" w:eastAsia="zh-CN"/>
        </w:rPr>
        <w:t>担保</w:t>
      </w:r>
      <w:r>
        <w:rPr>
          <w:rFonts w:hint="default" w:ascii="Times New Roman" w:hAnsi="Times New Roman" w:eastAsia="宋体" w:cs="Times New Roman"/>
          <w:sz w:val="24"/>
          <w:szCs w:val="24"/>
          <w:highlight w:val="none"/>
        </w:rPr>
        <w:t>责任。</w:t>
      </w:r>
    </w:p>
    <w:p>
      <w:pPr>
        <w:widowControl/>
        <w:spacing w:line="360" w:lineRule="auto"/>
        <w:ind w:firstLine="481"/>
        <w:jc w:val="both"/>
        <w:rPr>
          <w:rFonts w:hint="eastAsia" w:ascii="宋体" w:hAnsi="宋体" w:cs="宋体"/>
          <w:kern w:val="0"/>
          <w:sz w:val="24"/>
          <w:szCs w:val="24"/>
          <w:highlight w:val="none"/>
        </w:rPr>
      </w:pPr>
      <w:r>
        <w:rPr>
          <w:rFonts w:hint="eastAsia" w:ascii="宋体" w:hAnsi="宋体" w:cs="宋体"/>
          <w:kern w:val="0"/>
          <w:sz w:val="24"/>
          <w:szCs w:val="24"/>
          <w:highlight w:val="none"/>
        </w:rPr>
        <w:t>3</w:t>
      </w:r>
      <w:r>
        <w:rPr>
          <w:rFonts w:hint="eastAsia" w:ascii="宋体" w:hAnsi="宋体" w:cs="宋体"/>
          <w:kern w:val="0"/>
          <w:sz w:val="24"/>
          <w:szCs w:val="24"/>
          <w:highlight w:val="none"/>
          <w:lang w:val="en-US" w:eastAsia="zh-CN"/>
        </w:rPr>
        <w:t>.</w:t>
      </w:r>
      <w:r>
        <w:rPr>
          <w:rFonts w:hint="eastAsia" w:ascii="宋体" w:hAnsi="宋体" w:cs="宋体"/>
          <w:kern w:val="0"/>
          <w:sz w:val="24"/>
          <w:szCs w:val="24"/>
          <w:highlight w:val="none"/>
        </w:rPr>
        <w:t>清单中的“担保人”包括保证人、抵押人、出质人。</w:t>
      </w:r>
    </w:p>
    <w:p>
      <w:pPr>
        <w:widowControl/>
        <w:spacing w:line="360" w:lineRule="auto"/>
        <w:ind w:firstLine="481"/>
        <w:jc w:val="both"/>
        <w:rPr>
          <w:rFonts w:asciiTheme="minorEastAsia" w:hAnsiTheme="minorEastAsia" w:eastAsiaTheme="minorEastAsia" w:cstheme="minorEastAsia"/>
          <w:kern w:val="0"/>
          <w:sz w:val="24"/>
          <w:szCs w:val="24"/>
          <w:highlight w:val="none"/>
        </w:rPr>
      </w:pPr>
      <w:r>
        <w:rPr>
          <w:rFonts w:hint="eastAsia" w:ascii="宋体" w:hAnsi="宋体" w:cs="宋体"/>
          <w:kern w:val="0"/>
          <w:sz w:val="24"/>
          <w:szCs w:val="24"/>
          <w:highlight w:val="none"/>
        </w:rPr>
        <w:t>4</w:t>
      </w:r>
      <w:r>
        <w:rPr>
          <w:rFonts w:hint="eastAsia" w:ascii="宋体" w:hAnsi="宋体" w:cs="宋体"/>
          <w:kern w:val="0"/>
          <w:sz w:val="24"/>
          <w:szCs w:val="24"/>
          <w:highlight w:val="none"/>
          <w:lang w:val="en-US" w:eastAsia="zh-CN"/>
        </w:rPr>
        <w:t>.</w:t>
      </w:r>
      <w:r>
        <w:rPr>
          <w:rFonts w:hint="default" w:ascii="Times New Roman" w:hAnsi="Times New Roman" w:eastAsia="宋体" w:cs="Times New Roman"/>
          <w:sz w:val="24"/>
          <w:szCs w:val="24"/>
          <w:highlight w:val="none"/>
        </w:rPr>
        <w:t>如</w:t>
      </w:r>
      <w:r>
        <w:rPr>
          <w:rFonts w:hint="eastAsia" w:ascii="Times New Roman" w:hAnsi="Times New Roman" w:cs="Times New Roman"/>
          <w:sz w:val="24"/>
          <w:szCs w:val="24"/>
          <w:highlight w:val="none"/>
          <w:lang w:val="en-US" w:eastAsia="zh-CN"/>
        </w:rPr>
        <w:t>清单</w:t>
      </w:r>
      <w:r>
        <w:rPr>
          <w:rFonts w:hint="default" w:ascii="Times New Roman" w:hAnsi="Times New Roman" w:eastAsia="宋体" w:cs="Times New Roman"/>
          <w:sz w:val="24"/>
          <w:szCs w:val="24"/>
          <w:highlight w:val="none"/>
        </w:rPr>
        <w:t>中债务人、债权金额、担保人等信息与事实不符的，以相关合同、生效法律文书等为准</w:t>
      </w:r>
      <w:r>
        <w:rPr>
          <w:rFonts w:hint="eastAsia" w:ascii="宋体" w:hAnsi="宋体" w:cs="宋体"/>
          <w:kern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三、交易条件</w:t>
      </w:r>
    </w:p>
    <w:p>
      <w:pPr>
        <w:pStyle w:val="11"/>
        <w:widowControl/>
        <w:spacing w:beforeAutospacing="0" w:afterAutospacing="0" w:line="500" w:lineRule="exact"/>
        <w:ind w:firstLine="480"/>
        <w:jc w:val="both"/>
        <w:rPr>
          <w:rFonts w:asciiTheme="minorEastAsia" w:hAnsiTheme="minorEastAsia" w:eastAsiaTheme="minorEastAsia" w:cstheme="minorEastAsia"/>
          <w:szCs w:val="24"/>
          <w:highlight w:val="none"/>
        </w:rPr>
      </w:pPr>
      <w:r>
        <w:rPr>
          <w:rFonts w:hint="eastAsia" w:ascii="Times New Roman" w:hAnsi="Times New Roman" w:eastAsia="宋体" w:cs="Times New Roman"/>
          <w:sz w:val="24"/>
          <w:szCs w:val="24"/>
          <w:highlight w:val="none"/>
        </w:rPr>
        <w:t>要求买受人信誉好，可按</w:t>
      </w:r>
      <w:r>
        <w:rPr>
          <w:rFonts w:hint="eastAsia" w:ascii="Times New Roman" w:hAnsi="Times New Roman" w:eastAsia="宋体" w:cs="Times New Roman"/>
          <w:sz w:val="24"/>
          <w:szCs w:val="24"/>
          <w:highlight w:val="none"/>
          <w:lang w:val="en-US" w:eastAsia="zh-CN"/>
        </w:rPr>
        <w:t>本公司</w:t>
      </w:r>
      <w:r>
        <w:rPr>
          <w:rFonts w:hint="eastAsia" w:ascii="Times New Roman" w:hAnsi="Times New Roman" w:eastAsia="宋体" w:cs="Times New Roman"/>
          <w:sz w:val="24"/>
          <w:szCs w:val="24"/>
          <w:highlight w:val="none"/>
        </w:rPr>
        <w:t>要求方式付款且交易资金来源合法，能够接受债权资产存在的瑕疵及购买债权所带来的风险。</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四、对交易对象的要求</w:t>
      </w:r>
    </w:p>
    <w:p>
      <w:pPr>
        <w:widowControl/>
        <w:spacing w:line="360" w:lineRule="auto"/>
        <w:ind w:firstLine="481"/>
        <w:jc w:val="both"/>
        <w:rPr>
          <w:rFonts w:hint="eastAsia" w:hAnsi="宋体" w:eastAsia="Times New Roman"/>
          <w:sz w:val="24"/>
          <w:highlight w:val="none"/>
          <w:lang w:val="en-US" w:eastAsia="zh-CN"/>
        </w:rPr>
      </w:pPr>
      <w:r>
        <w:rPr>
          <w:rFonts w:hint="eastAsia" w:asciiTheme="minorEastAsia" w:hAnsiTheme="minorEastAsia" w:eastAsiaTheme="minorEastAsia" w:cstheme="minorEastAsia"/>
          <w:kern w:val="0"/>
          <w:sz w:val="24"/>
          <w:szCs w:val="24"/>
          <w:highlight w:val="none"/>
          <w:lang w:val="en-US" w:eastAsia="zh-CN" w:bidi="ar-SA"/>
        </w:rPr>
        <w:t>具有完全民事行为能力、支付能力的法人、组织或自然人，且以下人员不得购买：</w:t>
      </w:r>
      <w:r>
        <w:rPr>
          <w:rFonts w:hint="eastAsia" w:ascii="Times New Roman" w:hAnsi="Times New Roman" w:eastAsia="宋体" w:cs="Times New Roman"/>
          <w:sz w:val="24"/>
          <w:szCs w:val="24"/>
          <w:highlight w:val="none"/>
          <w:lang w:val="en-US" w:eastAsia="zh-CN"/>
        </w:rPr>
        <w:t>国家公务员、金融资产管理公司工作人员；该项资产处置工作相关中介机构所属人员；债务人、担保人为自然人的，其本人及其直系亲属；债务企业的控股股东、实际控制人及其控股下属公司，担保企业及其控股下属公司，债务企业的其他关联企业；上述主体出资成立的法人机构或特殊目</w:t>
      </w:r>
      <w:r>
        <w:rPr>
          <w:rFonts w:hint="eastAsia" w:hAnsi="宋体" w:eastAsia="Times New Roman"/>
          <w:sz w:val="24"/>
          <w:highlight w:val="none"/>
          <w:lang w:val="en-US" w:eastAsia="zh-CN"/>
        </w:rPr>
        <w:t>的实体；国家金融监督管理总局认定的其他不宜受让的主体。</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五、竞价手续的办理</w:t>
      </w:r>
    </w:p>
    <w:p>
      <w:pPr>
        <w:pStyle w:val="11"/>
        <w:widowControl/>
        <w:spacing w:beforeAutospacing="0" w:afterAutospacing="0" w:line="500" w:lineRule="exact"/>
        <w:ind w:firstLine="480" w:firstLineChars="200"/>
        <w:jc w:val="left"/>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有意参与竞价者请于</w:t>
      </w:r>
      <w:r>
        <w:rPr>
          <w:rFonts w:hint="eastAsia" w:ascii="宋体" w:hAnsi="宋体" w:cs="宋体"/>
          <w:color w:val="000000"/>
          <w:kern w:val="2"/>
          <w:szCs w:val="24"/>
          <w:highlight w:val="none"/>
        </w:rPr>
        <w:t>公告期限截止日</w:t>
      </w:r>
      <w:r>
        <w:rPr>
          <w:rFonts w:hint="eastAsia" w:ascii="宋体" w:hAnsi="宋体" w:cs="宋体"/>
          <w:color w:val="000000"/>
          <w:szCs w:val="24"/>
          <w:highlight w:val="none"/>
        </w:rPr>
        <w:t>16:00时前</w:t>
      </w:r>
      <w:r>
        <w:rPr>
          <w:rFonts w:hint="eastAsia" w:asciiTheme="minorEastAsia" w:hAnsiTheme="minorEastAsia" w:eastAsiaTheme="minorEastAsia" w:cstheme="minorEastAsia"/>
          <w:szCs w:val="24"/>
          <w:highlight w:val="none"/>
        </w:rPr>
        <w:t>（</w:t>
      </w:r>
      <w:r>
        <w:rPr>
          <w:rFonts w:hint="eastAsia" w:asciiTheme="minorEastAsia" w:hAnsiTheme="minorEastAsia" w:eastAsiaTheme="minorEastAsia" w:cstheme="minorEastAsia"/>
          <w:szCs w:val="24"/>
          <w:highlight w:val="none"/>
          <w:lang w:val="en-US" w:eastAsia="zh-CN"/>
        </w:rPr>
        <w:t>非工作</w:t>
      </w:r>
      <w:r>
        <w:rPr>
          <w:rFonts w:hint="eastAsia" w:asciiTheme="minorEastAsia" w:hAnsiTheme="minorEastAsia" w:eastAsiaTheme="minorEastAsia" w:cstheme="minorEastAsia"/>
          <w:szCs w:val="24"/>
          <w:highlight w:val="none"/>
        </w:rPr>
        <w:t>日除外），了解拟转让债权的基本情况，交纳竞价保证金</w:t>
      </w:r>
      <w:r>
        <w:rPr>
          <w:rFonts w:hint="eastAsia" w:asciiTheme="minorEastAsia" w:hAnsiTheme="minorEastAsia" w:eastAsiaTheme="minorEastAsia" w:cstheme="minorEastAsia"/>
          <w:szCs w:val="24"/>
          <w:highlight w:val="none"/>
          <w:u w:val="single"/>
        </w:rPr>
        <w:t xml:space="preserve"> </w:t>
      </w:r>
      <w:r>
        <w:rPr>
          <w:rFonts w:hint="eastAsia" w:asciiTheme="minorEastAsia" w:hAnsiTheme="minorEastAsia" w:eastAsiaTheme="minorEastAsia" w:cstheme="minorEastAsia"/>
          <w:szCs w:val="24"/>
          <w:highlight w:val="none"/>
          <w:u w:val="single"/>
          <w:lang w:val="en-US" w:eastAsia="zh-CN"/>
        </w:rPr>
        <w:t xml:space="preserve">9300 </w:t>
      </w:r>
      <w:r>
        <w:rPr>
          <w:rFonts w:hint="eastAsia" w:asciiTheme="minorEastAsia" w:hAnsiTheme="minorEastAsia" w:eastAsiaTheme="minorEastAsia" w:cstheme="minorEastAsia"/>
          <w:szCs w:val="24"/>
          <w:highlight w:val="none"/>
        </w:rPr>
        <w:t>万元到指定账户，</w:t>
      </w:r>
      <w:r>
        <w:rPr>
          <w:rFonts w:hint="eastAsia" w:ascii="宋体" w:hAnsi="宋体" w:cs="宋体"/>
          <w:color w:val="000000"/>
          <w:szCs w:val="24"/>
          <w:highlight w:val="none"/>
        </w:rPr>
        <w:t>并通过</w:t>
      </w:r>
      <w:r>
        <w:rPr>
          <w:rFonts w:hint="eastAsia" w:ascii="宋体" w:hAnsi="宋体" w:cs="宋体"/>
          <w:color w:val="000000"/>
          <w:szCs w:val="24"/>
          <w:highlight w:val="none"/>
          <w:lang w:val="en-US" w:eastAsia="zh-CN"/>
        </w:rPr>
        <w:t>山东产权交易中心系统（网址：http://sdcqjy.com ）</w:t>
      </w:r>
      <w:r>
        <w:rPr>
          <w:rFonts w:hint="eastAsia" w:ascii="宋体" w:hAnsi="宋体" w:cs="宋体"/>
          <w:color w:val="000000"/>
          <w:szCs w:val="24"/>
          <w:highlight w:val="none"/>
        </w:rPr>
        <w:t>提出受让登记申请</w:t>
      </w:r>
      <w:r>
        <w:rPr>
          <w:rFonts w:hint="eastAsia" w:asciiTheme="minorEastAsia" w:hAnsiTheme="minorEastAsia" w:eastAsiaTheme="minorEastAsia" w:cstheme="minorEastAsia"/>
          <w:szCs w:val="24"/>
          <w:highlight w:val="none"/>
        </w:rPr>
        <w:t>。竞价保证金以到账为准。</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 xml:space="preserve">六、公告期限 </w:t>
      </w:r>
    </w:p>
    <w:p>
      <w:pPr>
        <w:pStyle w:val="11"/>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jc w:val="left"/>
        <w:textAlignment w:val="auto"/>
        <w:outlineLvl w:val="9"/>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自公告发布之日起</w:t>
      </w:r>
      <w:r>
        <w:rPr>
          <w:rFonts w:hint="eastAsia" w:asciiTheme="minorEastAsia" w:hAnsiTheme="minorEastAsia" w:eastAsiaTheme="minorEastAsia" w:cstheme="minorEastAsia"/>
          <w:szCs w:val="24"/>
          <w:highlight w:val="none"/>
          <w:u w:val="single"/>
          <w:lang w:val="en-US" w:eastAsia="zh-CN"/>
        </w:rPr>
        <w:t>3</w:t>
      </w:r>
      <w:r>
        <w:rPr>
          <w:rFonts w:hint="eastAsia" w:asciiTheme="minorEastAsia" w:hAnsiTheme="minorEastAsia" w:eastAsiaTheme="minorEastAsia" w:cstheme="minorEastAsia"/>
          <w:szCs w:val="24"/>
          <w:highlight w:val="none"/>
          <w:u w:val="none"/>
        </w:rPr>
        <w:t>个</w:t>
      </w:r>
      <w:r>
        <w:rPr>
          <w:rFonts w:asciiTheme="minorEastAsia" w:hAnsiTheme="minorEastAsia" w:eastAsiaTheme="minorEastAsia" w:cstheme="minorEastAsia"/>
          <w:szCs w:val="24"/>
          <w:highlight w:val="none"/>
          <w:u w:val="none"/>
        </w:rPr>
        <w:t>工作</w:t>
      </w:r>
      <w:r>
        <w:rPr>
          <w:rFonts w:hint="eastAsia" w:asciiTheme="minorEastAsia" w:hAnsiTheme="minorEastAsia" w:eastAsiaTheme="minorEastAsia" w:cstheme="minorEastAsia"/>
          <w:szCs w:val="24"/>
          <w:highlight w:val="none"/>
          <w:u w:val="none"/>
        </w:rPr>
        <w:t>日止</w:t>
      </w:r>
      <w:r>
        <w:rPr>
          <w:rFonts w:hint="eastAsia" w:asciiTheme="minorEastAsia" w:hAnsiTheme="minorEastAsia" w:eastAsiaTheme="minorEastAsia" w:cstheme="minorEastAsia"/>
          <w:szCs w:val="24"/>
          <w:highlight w:val="none"/>
        </w:rPr>
        <w:t>。对本次公告内容有异议的，请于公告到期日前提出。</w:t>
      </w:r>
    </w:p>
    <w:p>
      <w:pPr>
        <w:pStyle w:val="11"/>
        <w:widowControl/>
        <w:spacing w:beforeAutospacing="0" w:afterAutospacing="0" w:line="500" w:lineRule="exact"/>
        <w:ind w:firstLine="480"/>
        <w:jc w:val="both"/>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本公告仅具有要约邀请的效力。</w:t>
      </w:r>
      <w:r>
        <w:rPr>
          <w:rFonts w:hint="eastAsia" w:asciiTheme="minorEastAsia" w:hAnsiTheme="minorEastAsia" w:eastAsiaTheme="minorEastAsia" w:cstheme="minorEastAsia"/>
          <w:szCs w:val="24"/>
          <w:highlight w:val="none"/>
          <w:lang w:val="en-US" w:eastAsia="zh-CN"/>
        </w:rPr>
        <w:t>本</w:t>
      </w:r>
      <w:r>
        <w:rPr>
          <w:rFonts w:hint="eastAsia" w:asciiTheme="minorEastAsia" w:hAnsiTheme="minorEastAsia" w:eastAsiaTheme="minorEastAsia" w:cstheme="minorEastAsia"/>
          <w:szCs w:val="24"/>
          <w:highlight w:val="none"/>
        </w:rPr>
        <w:t>公司有权自行撤销本次公开竞价或按照实际情况调整本次公开竞价时间。</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七、联系方式</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b w:val="0"/>
          <w:bCs/>
          <w:kern w:val="0"/>
          <w:sz w:val="24"/>
          <w:szCs w:val="24"/>
          <w:highlight w:val="none"/>
          <w:shd w:val="clear" w:color="auto" w:fill="FFFFFF"/>
          <w:lang w:val="en-US" w:eastAsia="zh-CN" w:bidi="ar-SA"/>
        </w:rPr>
      </w:pPr>
      <w:r>
        <w:rPr>
          <w:rFonts w:hint="eastAsia" w:ascii="宋体" w:hAnsi="宋体" w:eastAsia="宋体" w:cs="宋体"/>
          <w:b w:val="0"/>
          <w:bCs/>
          <w:kern w:val="0"/>
          <w:sz w:val="24"/>
          <w:szCs w:val="24"/>
          <w:highlight w:val="none"/>
          <w:shd w:val="clear" w:color="auto" w:fill="FFFFFF"/>
          <w:lang w:val="en-US" w:eastAsia="zh-CN" w:bidi="ar-SA"/>
        </w:rPr>
        <w:t>联系人：史经理，王经理</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default" w:ascii="宋体" w:hAnsi="宋体" w:eastAsia="宋体" w:cs="宋体"/>
          <w:b w:val="0"/>
          <w:bCs/>
          <w:kern w:val="0"/>
          <w:sz w:val="24"/>
          <w:szCs w:val="24"/>
          <w:highlight w:val="none"/>
          <w:shd w:val="clear" w:color="auto" w:fill="FFFFFF"/>
          <w:lang w:val="en-US" w:eastAsia="zh-CN" w:bidi="ar-SA"/>
        </w:rPr>
      </w:pPr>
      <w:r>
        <w:rPr>
          <w:rFonts w:hint="eastAsia" w:ascii="宋体" w:hAnsi="宋体" w:eastAsia="宋体" w:cs="宋体"/>
          <w:b w:val="0"/>
          <w:bCs/>
          <w:kern w:val="0"/>
          <w:sz w:val="24"/>
          <w:szCs w:val="24"/>
          <w:highlight w:val="none"/>
          <w:shd w:val="clear" w:color="auto" w:fill="FFFFFF"/>
          <w:lang w:val="en-US" w:eastAsia="zh-CN" w:bidi="ar-SA"/>
        </w:rPr>
        <w:t>联系电话：0531-86059744，0531-86059767</w:t>
      </w:r>
    </w:p>
    <w:p>
      <w:pPr>
        <w:pStyle w:val="11"/>
        <w:widowControl/>
        <w:spacing w:beforeAutospacing="0" w:afterAutospacing="0" w:line="500" w:lineRule="exact"/>
        <w:ind w:firstLine="480"/>
        <w:rPr>
          <w:rFonts w:hint="default" w:asciiTheme="minorEastAsia" w:hAnsiTheme="minorEastAsia" w:eastAsiaTheme="minorEastAsia" w:cstheme="minorEastAsia"/>
          <w:szCs w:val="24"/>
          <w:highlight w:val="none"/>
          <w:lang w:val="en-US" w:eastAsia="zh-CN"/>
        </w:rPr>
      </w:pPr>
      <w:r>
        <w:rPr>
          <w:rFonts w:hint="eastAsia" w:ascii="宋体" w:hAnsi="宋体" w:cs="宋体"/>
          <w:b w:val="0"/>
          <w:bCs/>
          <w:sz w:val="24"/>
          <w:szCs w:val="24"/>
          <w:highlight w:val="none"/>
          <w:shd w:val="clear" w:color="auto" w:fill="FFFFFF"/>
          <w:lang w:val="en-US" w:eastAsia="zh-CN"/>
        </w:rPr>
        <w:t>受理</w:t>
      </w:r>
      <w:r>
        <w:rPr>
          <w:rFonts w:hint="eastAsia" w:ascii="宋体" w:hAnsi="宋体" w:eastAsia="宋体" w:cs="宋体"/>
          <w:b w:val="0"/>
          <w:bCs/>
          <w:sz w:val="24"/>
          <w:szCs w:val="24"/>
          <w:highlight w:val="none"/>
          <w:shd w:val="clear" w:color="auto" w:fill="FFFFFF"/>
          <w:lang w:eastAsia="zh-CN"/>
        </w:rPr>
        <w:t>排斥、阻挠或异议</w:t>
      </w:r>
      <w:r>
        <w:rPr>
          <w:rFonts w:hint="eastAsia" w:ascii="宋体" w:hAnsi="宋体" w:cs="宋体"/>
          <w:b w:val="0"/>
          <w:bCs/>
          <w:sz w:val="24"/>
          <w:szCs w:val="24"/>
          <w:highlight w:val="none"/>
          <w:shd w:val="clear" w:color="auto" w:fill="FFFFFF"/>
          <w:lang w:val="en-US" w:eastAsia="zh-CN"/>
        </w:rPr>
        <w:t>的举报</w:t>
      </w:r>
      <w:r>
        <w:rPr>
          <w:rFonts w:hint="eastAsia" w:ascii="宋体" w:hAnsi="宋体" w:cs="宋体"/>
          <w:b w:val="0"/>
          <w:bCs/>
          <w:sz w:val="24"/>
          <w:szCs w:val="24"/>
          <w:highlight w:val="none"/>
          <w:shd w:val="clear" w:color="auto" w:fill="FFFFFF"/>
          <w:lang w:eastAsia="zh-CN"/>
        </w:rPr>
        <w:t>电话：</w:t>
      </w:r>
      <w:r>
        <w:rPr>
          <w:rFonts w:hint="eastAsia" w:asciiTheme="minorEastAsia" w:hAnsiTheme="minorEastAsia" w:eastAsiaTheme="minorEastAsia" w:cstheme="minorEastAsia"/>
          <w:szCs w:val="24"/>
          <w:highlight w:val="none"/>
        </w:rPr>
        <w:t>0531-</w:t>
      </w:r>
      <w:r>
        <w:rPr>
          <w:rFonts w:hint="eastAsia" w:asciiTheme="minorEastAsia" w:hAnsiTheme="minorEastAsia" w:eastAsiaTheme="minorEastAsia" w:cstheme="minorEastAsia"/>
          <w:szCs w:val="24"/>
          <w:highlight w:val="none"/>
          <w:lang w:val="en-US" w:eastAsia="zh-CN"/>
        </w:rPr>
        <w:t>86059702</w:t>
      </w:r>
    </w:p>
    <w:p>
      <w:pPr>
        <w:pStyle w:val="11"/>
        <w:widowControl/>
        <w:spacing w:beforeAutospacing="0" w:afterAutospacing="0" w:line="500" w:lineRule="exact"/>
        <w:ind w:firstLine="480"/>
        <w:rPr>
          <w:rFonts w:hint="eastAsia"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 xml:space="preserve">联系地址：济南市经三路89号 </w:t>
      </w:r>
    </w:p>
    <w:p>
      <w:pPr>
        <w:pStyle w:val="11"/>
        <w:widowControl/>
        <w:spacing w:beforeAutospacing="0" w:afterAutospacing="0" w:line="500" w:lineRule="exact"/>
        <w:ind w:firstLine="480"/>
        <w:rPr>
          <w:rFonts w:asciiTheme="minorEastAsia" w:hAnsiTheme="minorEastAsia" w:eastAsiaTheme="minorEastAsia" w:cstheme="minorEastAsia"/>
          <w:szCs w:val="24"/>
          <w:highlight w:val="none"/>
        </w:rPr>
      </w:pPr>
    </w:p>
    <w:p>
      <w:pPr>
        <w:pStyle w:val="11"/>
        <w:widowControl/>
        <w:spacing w:beforeAutospacing="0" w:afterAutospacing="0" w:line="500" w:lineRule="exact"/>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 xml:space="preserve">                         中国</w:t>
      </w:r>
      <w:r>
        <w:rPr>
          <w:rFonts w:hint="eastAsia" w:asciiTheme="minorEastAsia" w:hAnsiTheme="minorEastAsia" w:eastAsiaTheme="minorEastAsia" w:cstheme="minorEastAsia"/>
          <w:szCs w:val="24"/>
          <w:highlight w:val="none"/>
          <w:lang w:val="en-US" w:eastAsia="zh-CN"/>
        </w:rPr>
        <w:t>中信金融</w:t>
      </w:r>
      <w:r>
        <w:rPr>
          <w:rFonts w:hint="eastAsia" w:asciiTheme="minorEastAsia" w:hAnsiTheme="minorEastAsia" w:eastAsiaTheme="minorEastAsia" w:cstheme="minorEastAsia"/>
          <w:szCs w:val="24"/>
          <w:highlight w:val="none"/>
        </w:rPr>
        <w:t>资产管理股份有限公司山东省分公司</w:t>
      </w:r>
    </w:p>
    <w:p>
      <w:pPr>
        <w:pStyle w:val="11"/>
        <w:widowControl/>
        <w:spacing w:beforeAutospacing="0" w:afterAutospacing="0" w:line="500" w:lineRule="exact"/>
        <w:jc w:val="right"/>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 xml:space="preserve">                                       </w:t>
      </w:r>
      <w:r>
        <w:rPr>
          <w:rFonts w:hint="eastAsia" w:asciiTheme="minorEastAsia" w:hAnsiTheme="minorEastAsia" w:eastAsiaTheme="minorEastAsia" w:cstheme="minorEastAsia"/>
          <w:szCs w:val="24"/>
          <w:highlight w:val="none"/>
          <w:lang w:val="en-US" w:eastAsia="zh-CN"/>
        </w:rPr>
        <w:t xml:space="preserve"> 2025</w:t>
      </w:r>
      <w:r>
        <w:rPr>
          <w:rFonts w:hint="eastAsia" w:asciiTheme="minorEastAsia" w:hAnsiTheme="minorEastAsia" w:eastAsiaTheme="minorEastAsia" w:cstheme="minorEastAsia"/>
          <w:szCs w:val="24"/>
          <w:highlight w:val="none"/>
        </w:rPr>
        <w:t>年</w:t>
      </w:r>
      <w:r>
        <w:rPr>
          <w:rFonts w:hint="eastAsia" w:asciiTheme="minorEastAsia" w:hAnsiTheme="minorEastAsia" w:eastAsiaTheme="minorEastAsia" w:cstheme="minorEastAsia"/>
          <w:szCs w:val="24"/>
          <w:highlight w:val="none"/>
          <w:lang w:val="en-US" w:eastAsia="zh-CN"/>
        </w:rPr>
        <w:t xml:space="preserve"> 12</w:t>
      </w:r>
      <w:r>
        <w:rPr>
          <w:rFonts w:hint="eastAsia" w:asciiTheme="minorEastAsia" w:hAnsiTheme="minorEastAsia" w:eastAsiaTheme="minorEastAsia" w:cstheme="minorEastAsia"/>
          <w:szCs w:val="24"/>
          <w:highlight w:val="none"/>
        </w:rPr>
        <w:t>月</w:t>
      </w:r>
      <w:r>
        <w:rPr>
          <w:rFonts w:hint="eastAsia" w:asciiTheme="minorEastAsia" w:hAnsiTheme="minorEastAsia" w:eastAsiaTheme="minorEastAsia" w:cstheme="minorEastAsia"/>
          <w:szCs w:val="24"/>
          <w:highlight w:val="none"/>
          <w:lang w:val="en-US" w:eastAsia="zh-CN"/>
        </w:rPr>
        <w:t>11</w:t>
      </w:r>
      <w:r>
        <w:rPr>
          <w:rFonts w:hint="eastAsia" w:asciiTheme="minorEastAsia" w:hAnsiTheme="minorEastAsia" w:eastAsiaTheme="minorEastAsia" w:cstheme="minorEastAsia"/>
          <w:szCs w:val="24"/>
          <w:highlight w:val="none"/>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896067"/>
    <w:multiLevelType w:val="singleLevel"/>
    <w:tmpl w:val="32896067"/>
    <w:lvl w:ilvl="0" w:tentative="0">
      <w:start w:val="2"/>
      <w:numFmt w:val="chineseCounting"/>
      <w:suff w:val="nothing"/>
      <w:lvlText w:val="%1、"/>
      <w:lvlJc w:val="left"/>
      <w:rPr>
        <w:rFonts w:hint="eastAsia"/>
      </w:rPr>
    </w:lvl>
  </w:abstractNum>
  <w:abstractNum w:abstractNumId="1">
    <w:nsid w:val="3D9C3C5A"/>
    <w:multiLevelType w:val="multilevel"/>
    <w:tmpl w:val="3D9C3C5A"/>
    <w:lvl w:ilvl="0" w:tentative="0">
      <w:start w:val="1"/>
      <w:numFmt w:val="decimal"/>
      <w:lvlText w:val="%1"/>
      <w:lvlJc w:val="left"/>
      <w:pPr>
        <w:tabs>
          <w:tab w:val="left" w:pos="0"/>
        </w:tabs>
        <w:ind w:left="0" w:firstLine="0"/>
      </w:pPr>
    </w:lvl>
    <w:lvl w:ilvl="1" w:tentative="0">
      <w:start w:val="1"/>
      <w:numFmt w:val="decimal"/>
      <w:lvlText w:val="%1.%2"/>
      <w:lvlJc w:val="left"/>
      <w:pPr>
        <w:tabs>
          <w:tab w:val="left" w:pos="567"/>
        </w:tabs>
        <w:ind w:left="0" w:firstLine="0"/>
      </w:pPr>
    </w:lvl>
    <w:lvl w:ilvl="2" w:tentative="0">
      <w:start w:val="1"/>
      <w:numFmt w:val="decimal"/>
      <w:pStyle w:val="2"/>
      <w:lvlText w:val="%1.%2.%3"/>
      <w:lvlJc w:val="left"/>
      <w:pPr>
        <w:tabs>
          <w:tab w:val="left" w:pos="142"/>
        </w:tabs>
        <w:ind w:left="142" w:firstLine="0"/>
      </w:pPr>
    </w:lvl>
    <w:lvl w:ilvl="3" w:tentative="0">
      <w:start w:val="1"/>
      <w:numFmt w:val="decimal"/>
      <w:lvlText w:val="%1.%2.%3.%4"/>
      <w:lvlJc w:val="left"/>
      <w:pPr>
        <w:tabs>
          <w:tab w:val="left" w:pos="6094"/>
        </w:tabs>
        <w:ind w:left="5722" w:hanging="708"/>
      </w:pPr>
      <w:rPr>
        <w:rFonts w:hint="eastAsia"/>
      </w:rPr>
    </w:lvl>
    <w:lvl w:ilvl="4" w:tentative="0">
      <w:start w:val="1"/>
      <w:numFmt w:val="decimal"/>
      <w:lvlText w:val="%1.%2.%3.%4.%5"/>
      <w:lvlJc w:val="left"/>
      <w:pPr>
        <w:tabs>
          <w:tab w:val="left" w:pos="6519"/>
        </w:tabs>
        <w:ind w:left="6289" w:hanging="850"/>
      </w:pPr>
      <w:rPr>
        <w:rFonts w:hint="eastAsia"/>
      </w:rPr>
    </w:lvl>
    <w:lvl w:ilvl="5" w:tentative="0">
      <w:start w:val="1"/>
      <w:numFmt w:val="decimal"/>
      <w:lvlText w:val="%1.%2.%3.%4.%5.%6"/>
      <w:lvlJc w:val="left"/>
      <w:pPr>
        <w:tabs>
          <w:tab w:val="left" w:pos="7304"/>
        </w:tabs>
        <w:ind w:left="6998" w:hanging="1134"/>
      </w:pPr>
      <w:rPr>
        <w:rFonts w:hint="eastAsia"/>
      </w:rPr>
    </w:lvl>
    <w:lvl w:ilvl="6" w:tentative="0">
      <w:start w:val="1"/>
      <w:numFmt w:val="decimal"/>
      <w:lvlText w:val="%1.%2.%3.%4.%5.%6.%7"/>
      <w:lvlJc w:val="left"/>
      <w:pPr>
        <w:tabs>
          <w:tab w:val="left" w:pos="8089"/>
        </w:tabs>
        <w:ind w:left="7565" w:hanging="1276"/>
      </w:pPr>
      <w:rPr>
        <w:rFonts w:hint="eastAsia"/>
      </w:rPr>
    </w:lvl>
    <w:lvl w:ilvl="7" w:tentative="0">
      <w:start w:val="1"/>
      <w:numFmt w:val="decimal"/>
      <w:lvlText w:val="%1.%2.%3.%4.%5.%6.%7.%8"/>
      <w:lvlJc w:val="left"/>
      <w:pPr>
        <w:tabs>
          <w:tab w:val="left" w:pos="8514"/>
        </w:tabs>
        <w:ind w:left="8132" w:hanging="1418"/>
      </w:pPr>
      <w:rPr>
        <w:rFonts w:hint="eastAsia"/>
      </w:rPr>
    </w:lvl>
    <w:lvl w:ilvl="8" w:tentative="0">
      <w:start w:val="1"/>
      <w:numFmt w:val="decimal"/>
      <w:lvlText w:val="%1.%2.%3.%4.%5.%6.%7.%8.%9"/>
      <w:lvlJc w:val="left"/>
      <w:pPr>
        <w:tabs>
          <w:tab w:val="left" w:pos="9300"/>
        </w:tabs>
        <w:ind w:left="8840"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2"/>
    <w:rsid w:val="00000431"/>
    <w:rsid w:val="00001495"/>
    <w:rsid w:val="0001183D"/>
    <w:rsid w:val="000127C9"/>
    <w:rsid w:val="00016821"/>
    <w:rsid w:val="000313D8"/>
    <w:rsid w:val="00032D81"/>
    <w:rsid w:val="0003359C"/>
    <w:rsid w:val="00065F03"/>
    <w:rsid w:val="000728B8"/>
    <w:rsid w:val="00085741"/>
    <w:rsid w:val="000A7E7E"/>
    <w:rsid w:val="000C0981"/>
    <w:rsid w:val="000C6E11"/>
    <w:rsid w:val="000D5C10"/>
    <w:rsid w:val="000E1E69"/>
    <w:rsid w:val="000F1613"/>
    <w:rsid w:val="000F7D23"/>
    <w:rsid w:val="00102274"/>
    <w:rsid w:val="00103FBE"/>
    <w:rsid w:val="00105186"/>
    <w:rsid w:val="0010533F"/>
    <w:rsid w:val="00105341"/>
    <w:rsid w:val="00112B4E"/>
    <w:rsid w:val="00112BBF"/>
    <w:rsid w:val="00130E41"/>
    <w:rsid w:val="00135FBC"/>
    <w:rsid w:val="001475E3"/>
    <w:rsid w:val="0015011C"/>
    <w:rsid w:val="001523CC"/>
    <w:rsid w:val="001528F3"/>
    <w:rsid w:val="00157528"/>
    <w:rsid w:val="00172411"/>
    <w:rsid w:val="0017275A"/>
    <w:rsid w:val="00174760"/>
    <w:rsid w:val="00184648"/>
    <w:rsid w:val="00187ADB"/>
    <w:rsid w:val="00191EA1"/>
    <w:rsid w:val="00195FBB"/>
    <w:rsid w:val="0019618B"/>
    <w:rsid w:val="001B7C07"/>
    <w:rsid w:val="001C32D2"/>
    <w:rsid w:val="001C7244"/>
    <w:rsid w:val="001E15C2"/>
    <w:rsid w:val="001E544A"/>
    <w:rsid w:val="001F3EC5"/>
    <w:rsid w:val="00207231"/>
    <w:rsid w:val="002077AB"/>
    <w:rsid w:val="00220FCF"/>
    <w:rsid w:val="00233D8E"/>
    <w:rsid w:val="00237078"/>
    <w:rsid w:val="00257509"/>
    <w:rsid w:val="00266168"/>
    <w:rsid w:val="002705F0"/>
    <w:rsid w:val="00274332"/>
    <w:rsid w:val="00285FD1"/>
    <w:rsid w:val="00287A3A"/>
    <w:rsid w:val="00293AD6"/>
    <w:rsid w:val="002B534D"/>
    <w:rsid w:val="002B7F51"/>
    <w:rsid w:val="002C02B0"/>
    <w:rsid w:val="002C55F8"/>
    <w:rsid w:val="002C7226"/>
    <w:rsid w:val="002D7289"/>
    <w:rsid w:val="002E37BA"/>
    <w:rsid w:val="002E3C80"/>
    <w:rsid w:val="002E55C6"/>
    <w:rsid w:val="002E5FCB"/>
    <w:rsid w:val="002E74C0"/>
    <w:rsid w:val="002F5877"/>
    <w:rsid w:val="00322713"/>
    <w:rsid w:val="00323050"/>
    <w:rsid w:val="00327447"/>
    <w:rsid w:val="00344F0C"/>
    <w:rsid w:val="00352133"/>
    <w:rsid w:val="00373FA8"/>
    <w:rsid w:val="00375404"/>
    <w:rsid w:val="003754FC"/>
    <w:rsid w:val="00377526"/>
    <w:rsid w:val="00383804"/>
    <w:rsid w:val="003958AD"/>
    <w:rsid w:val="003A0491"/>
    <w:rsid w:val="003B70E5"/>
    <w:rsid w:val="003D3329"/>
    <w:rsid w:val="003D7A68"/>
    <w:rsid w:val="003E1F68"/>
    <w:rsid w:val="003E6B41"/>
    <w:rsid w:val="004051C8"/>
    <w:rsid w:val="00417D2A"/>
    <w:rsid w:val="004202C6"/>
    <w:rsid w:val="00420D85"/>
    <w:rsid w:val="00422BED"/>
    <w:rsid w:val="004341CA"/>
    <w:rsid w:val="00437FD8"/>
    <w:rsid w:val="0044648A"/>
    <w:rsid w:val="0044704F"/>
    <w:rsid w:val="004505D2"/>
    <w:rsid w:val="00454369"/>
    <w:rsid w:val="0045622A"/>
    <w:rsid w:val="00464EA1"/>
    <w:rsid w:val="00466930"/>
    <w:rsid w:val="00472352"/>
    <w:rsid w:val="004754AD"/>
    <w:rsid w:val="0048413F"/>
    <w:rsid w:val="00487271"/>
    <w:rsid w:val="004964E6"/>
    <w:rsid w:val="00496B38"/>
    <w:rsid w:val="00497FD9"/>
    <w:rsid w:val="004B0EF2"/>
    <w:rsid w:val="004B2F49"/>
    <w:rsid w:val="004B3BA1"/>
    <w:rsid w:val="004C3C3D"/>
    <w:rsid w:val="004D7621"/>
    <w:rsid w:val="004E02D5"/>
    <w:rsid w:val="004E102A"/>
    <w:rsid w:val="004E2D73"/>
    <w:rsid w:val="00504B16"/>
    <w:rsid w:val="0050623B"/>
    <w:rsid w:val="00542DD0"/>
    <w:rsid w:val="00544387"/>
    <w:rsid w:val="00547208"/>
    <w:rsid w:val="00551CE0"/>
    <w:rsid w:val="00555B95"/>
    <w:rsid w:val="00564A82"/>
    <w:rsid w:val="005706DC"/>
    <w:rsid w:val="00584954"/>
    <w:rsid w:val="005938F1"/>
    <w:rsid w:val="0059703A"/>
    <w:rsid w:val="005C2C1F"/>
    <w:rsid w:val="005C727B"/>
    <w:rsid w:val="005D17E6"/>
    <w:rsid w:val="005E6042"/>
    <w:rsid w:val="005F061A"/>
    <w:rsid w:val="00604E59"/>
    <w:rsid w:val="00611481"/>
    <w:rsid w:val="006429F1"/>
    <w:rsid w:val="00660A6E"/>
    <w:rsid w:val="00661339"/>
    <w:rsid w:val="006632F8"/>
    <w:rsid w:val="00663C6C"/>
    <w:rsid w:val="0067668E"/>
    <w:rsid w:val="006A0205"/>
    <w:rsid w:val="006B04AC"/>
    <w:rsid w:val="006E3A77"/>
    <w:rsid w:val="006E45D8"/>
    <w:rsid w:val="006F3B6E"/>
    <w:rsid w:val="006F4449"/>
    <w:rsid w:val="006F7477"/>
    <w:rsid w:val="00705810"/>
    <w:rsid w:val="00716CAF"/>
    <w:rsid w:val="0073588A"/>
    <w:rsid w:val="007578F2"/>
    <w:rsid w:val="007607C8"/>
    <w:rsid w:val="007A317C"/>
    <w:rsid w:val="007A7467"/>
    <w:rsid w:val="007C1065"/>
    <w:rsid w:val="007C33EF"/>
    <w:rsid w:val="007D0D6B"/>
    <w:rsid w:val="007D731C"/>
    <w:rsid w:val="007E710C"/>
    <w:rsid w:val="007F12BB"/>
    <w:rsid w:val="007F2721"/>
    <w:rsid w:val="007F6F35"/>
    <w:rsid w:val="00800AF1"/>
    <w:rsid w:val="00804855"/>
    <w:rsid w:val="00805B6E"/>
    <w:rsid w:val="00817920"/>
    <w:rsid w:val="00833833"/>
    <w:rsid w:val="00834B31"/>
    <w:rsid w:val="0083624E"/>
    <w:rsid w:val="0085659E"/>
    <w:rsid w:val="00864F7C"/>
    <w:rsid w:val="008657B0"/>
    <w:rsid w:val="00875B33"/>
    <w:rsid w:val="00877FBC"/>
    <w:rsid w:val="00887CB7"/>
    <w:rsid w:val="008B4A7B"/>
    <w:rsid w:val="008B57B5"/>
    <w:rsid w:val="008C17DE"/>
    <w:rsid w:val="008C74C7"/>
    <w:rsid w:val="008D38BB"/>
    <w:rsid w:val="008D4941"/>
    <w:rsid w:val="008D5C84"/>
    <w:rsid w:val="008E61E3"/>
    <w:rsid w:val="00900EA2"/>
    <w:rsid w:val="009045AA"/>
    <w:rsid w:val="00910CEE"/>
    <w:rsid w:val="00911630"/>
    <w:rsid w:val="00922039"/>
    <w:rsid w:val="00925A54"/>
    <w:rsid w:val="009272F6"/>
    <w:rsid w:val="009450B3"/>
    <w:rsid w:val="00960EFD"/>
    <w:rsid w:val="00962E8A"/>
    <w:rsid w:val="00966F1B"/>
    <w:rsid w:val="00980440"/>
    <w:rsid w:val="00985D65"/>
    <w:rsid w:val="0098777A"/>
    <w:rsid w:val="00994252"/>
    <w:rsid w:val="00996685"/>
    <w:rsid w:val="009A57C9"/>
    <w:rsid w:val="009A7B36"/>
    <w:rsid w:val="009A7ECA"/>
    <w:rsid w:val="009D52B4"/>
    <w:rsid w:val="009E04C1"/>
    <w:rsid w:val="009E09CD"/>
    <w:rsid w:val="009E2655"/>
    <w:rsid w:val="009F08DD"/>
    <w:rsid w:val="009F7605"/>
    <w:rsid w:val="00A1250D"/>
    <w:rsid w:val="00A132ED"/>
    <w:rsid w:val="00A21D48"/>
    <w:rsid w:val="00A25433"/>
    <w:rsid w:val="00A25D5C"/>
    <w:rsid w:val="00A27449"/>
    <w:rsid w:val="00A4254C"/>
    <w:rsid w:val="00A47958"/>
    <w:rsid w:val="00A539F8"/>
    <w:rsid w:val="00A61234"/>
    <w:rsid w:val="00A66FD5"/>
    <w:rsid w:val="00A67686"/>
    <w:rsid w:val="00A90705"/>
    <w:rsid w:val="00A94002"/>
    <w:rsid w:val="00AB2450"/>
    <w:rsid w:val="00AB59E1"/>
    <w:rsid w:val="00AB7742"/>
    <w:rsid w:val="00AC79B3"/>
    <w:rsid w:val="00AD0DC5"/>
    <w:rsid w:val="00AD3880"/>
    <w:rsid w:val="00AF0C66"/>
    <w:rsid w:val="00AF279F"/>
    <w:rsid w:val="00B14A36"/>
    <w:rsid w:val="00B17FE2"/>
    <w:rsid w:val="00B24D2E"/>
    <w:rsid w:val="00B3795E"/>
    <w:rsid w:val="00B5734A"/>
    <w:rsid w:val="00B92379"/>
    <w:rsid w:val="00B95506"/>
    <w:rsid w:val="00BB1A4B"/>
    <w:rsid w:val="00BB4D11"/>
    <w:rsid w:val="00BF3D3E"/>
    <w:rsid w:val="00C32DB3"/>
    <w:rsid w:val="00C41381"/>
    <w:rsid w:val="00C42067"/>
    <w:rsid w:val="00C5298A"/>
    <w:rsid w:val="00C52A71"/>
    <w:rsid w:val="00C57AAB"/>
    <w:rsid w:val="00C73464"/>
    <w:rsid w:val="00C839C1"/>
    <w:rsid w:val="00C83C8D"/>
    <w:rsid w:val="00C84743"/>
    <w:rsid w:val="00C85EF7"/>
    <w:rsid w:val="00C86225"/>
    <w:rsid w:val="00CA0138"/>
    <w:rsid w:val="00CA5232"/>
    <w:rsid w:val="00CB1AA1"/>
    <w:rsid w:val="00CD4A6B"/>
    <w:rsid w:val="00CE0FA9"/>
    <w:rsid w:val="00CE2BB8"/>
    <w:rsid w:val="00CE772A"/>
    <w:rsid w:val="00CE79E2"/>
    <w:rsid w:val="00D03A88"/>
    <w:rsid w:val="00D230B9"/>
    <w:rsid w:val="00D3230E"/>
    <w:rsid w:val="00D51FA7"/>
    <w:rsid w:val="00D63CCE"/>
    <w:rsid w:val="00D64CCB"/>
    <w:rsid w:val="00D7098D"/>
    <w:rsid w:val="00D84FCD"/>
    <w:rsid w:val="00D872FE"/>
    <w:rsid w:val="00DB245D"/>
    <w:rsid w:val="00DD6979"/>
    <w:rsid w:val="00DE1F67"/>
    <w:rsid w:val="00DF0F3F"/>
    <w:rsid w:val="00E027A1"/>
    <w:rsid w:val="00E22B3E"/>
    <w:rsid w:val="00E22C66"/>
    <w:rsid w:val="00E31265"/>
    <w:rsid w:val="00E42183"/>
    <w:rsid w:val="00E46E74"/>
    <w:rsid w:val="00E515A0"/>
    <w:rsid w:val="00E54DDB"/>
    <w:rsid w:val="00E60CBF"/>
    <w:rsid w:val="00E616B1"/>
    <w:rsid w:val="00E706DB"/>
    <w:rsid w:val="00E70B51"/>
    <w:rsid w:val="00E84C66"/>
    <w:rsid w:val="00E87F39"/>
    <w:rsid w:val="00E92FDC"/>
    <w:rsid w:val="00E935EA"/>
    <w:rsid w:val="00E9385F"/>
    <w:rsid w:val="00E94E8E"/>
    <w:rsid w:val="00EA2EAB"/>
    <w:rsid w:val="00EB6CE8"/>
    <w:rsid w:val="00EC1B9A"/>
    <w:rsid w:val="00EC3931"/>
    <w:rsid w:val="00EC7956"/>
    <w:rsid w:val="00EF002C"/>
    <w:rsid w:val="00EF3412"/>
    <w:rsid w:val="00F06035"/>
    <w:rsid w:val="00F11EE7"/>
    <w:rsid w:val="00F20DC1"/>
    <w:rsid w:val="00F244AF"/>
    <w:rsid w:val="00F25864"/>
    <w:rsid w:val="00F41CA9"/>
    <w:rsid w:val="00F562C2"/>
    <w:rsid w:val="00F57694"/>
    <w:rsid w:val="00F609F8"/>
    <w:rsid w:val="00F66635"/>
    <w:rsid w:val="00F90E54"/>
    <w:rsid w:val="00FB3550"/>
    <w:rsid w:val="00FB77A4"/>
    <w:rsid w:val="00FC1CE0"/>
    <w:rsid w:val="00FD02A0"/>
    <w:rsid w:val="00FD05FD"/>
    <w:rsid w:val="00FD1866"/>
    <w:rsid w:val="00FE5802"/>
    <w:rsid w:val="00FF0FFC"/>
    <w:rsid w:val="00FF3520"/>
    <w:rsid w:val="01912254"/>
    <w:rsid w:val="01CE7BFD"/>
    <w:rsid w:val="022D3E9F"/>
    <w:rsid w:val="06DF1C54"/>
    <w:rsid w:val="09103F50"/>
    <w:rsid w:val="097939D0"/>
    <w:rsid w:val="0F191555"/>
    <w:rsid w:val="0F2B524D"/>
    <w:rsid w:val="0F4A7B25"/>
    <w:rsid w:val="0F8021FE"/>
    <w:rsid w:val="1127139F"/>
    <w:rsid w:val="11937081"/>
    <w:rsid w:val="12BF4B04"/>
    <w:rsid w:val="150C0130"/>
    <w:rsid w:val="151B46AD"/>
    <w:rsid w:val="17B57BF4"/>
    <w:rsid w:val="17C20DDF"/>
    <w:rsid w:val="17D32109"/>
    <w:rsid w:val="19910612"/>
    <w:rsid w:val="19DE26FD"/>
    <w:rsid w:val="1AD86198"/>
    <w:rsid w:val="1CD63A5F"/>
    <w:rsid w:val="1E6D7FFA"/>
    <w:rsid w:val="1EA602E7"/>
    <w:rsid w:val="220B656A"/>
    <w:rsid w:val="23CA49FA"/>
    <w:rsid w:val="24E56C98"/>
    <w:rsid w:val="25AC15F0"/>
    <w:rsid w:val="25BE0B79"/>
    <w:rsid w:val="25C2712F"/>
    <w:rsid w:val="26411CB8"/>
    <w:rsid w:val="26842EC1"/>
    <w:rsid w:val="2941500E"/>
    <w:rsid w:val="29B11D74"/>
    <w:rsid w:val="29B97D31"/>
    <w:rsid w:val="2A955869"/>
    <w:rsid w:val="2ACC15C7"/>
    <w:rsid w:val="2AE236DA"/>
    <w:rsid w:val="2B0F1CB0"/>
    <w:rsid w:val="2C603B07"/>
    <w:rsid w:val="2D9A4A83"/>
    <w:rsid w:val="2DD67F9F"/>
    <w:rsid w:val="2E1E06B9"/>
    <w:rsid w:val="2E8F1B26"/>
    <w:rsid w:val="2F1376D4"/>
    <w:rsid w:val="2FD74E0A"/>
    <w:rsid w:val="31FD3F11"/>
    <w:rsid w:val="32144A36"/>
    <w:rsid w:val="323C0C11"/>
    <w:rsid w:val="343D5340"/>
    <w:rsid w:val="34594C70"/>
    <w:rsid w:val="35B93933"/>
    <w:rsid w:val="39430981"/>
    <w:rsid w:val="3AC06BF4"/>
    <w:rsid w:val="3AF21305"/>
    <w:rsid w:val="3B2C075E"/>
    <w:rsid w:val="3B690306"/>
    <w:rsid w:val="3D3E1186"/>
    <w:rsid w:val="3FBE134D"/>
    <w:rsid w:val="42A01A12"/>
    <w:rsid w:val="43652324"/>
    <w:rsid w:val="44593EB2"/>
    <w:rsid w:val="449E1A3F"/>
    <w:rsid w:val="464109F6"/>
    <w:rsid w:val="475A53B3"/>
    <w:rsid w:val="47A35B6D"/>
    <w:rsid w:val="49E728CF"/>
    <w:rsid w:val="4D590BF1"/>
    <w:rsid w:val="4FA407B6"/>
    <w:rsid w:val="501E0480"/>
    <w:rsid w:val="5190596A"/>
    <w:rsid w:val="520F0C30"/>
    <w:rsid w:val="534F419D"/>
    <w:rsid w:val="55A63FE8"/>
    <w:rsid w:val="58156012"/>
    <w:rsid w:val="595E182C"/>
    <w:rsid w:val="5A3D48DD"/>
    <w:rsid w:val="5BB50F1D"/>
    <w:rsid w:val="5BB72DE8"/>
    <w:rsid w:val="5C9F3DF5"/>
    <w:rsid w:val="5D4E0081"/>
    <w:rsid w:val="5D5048E2"/>
    <w:rsid w:val="5E1C55F2"/>
    <w:rsid w:val="5F460757"/>
    <w:rsid w:val="5FB20F0C"/>
    <w:rsid w:val="62285198"/>
    <w:rsid w:val="62B30401"/>
    <w:rsid w:val="62F81FED"/>
    <w:rsid w:val="640459A3"/>
    <w:rsid w:val="661E282B"/>
    <w:rsid w:val="666A1995"/>
    <w:rsid w:val="66DB38F8"/>
    <w:rsid w:val="66E04E56"/>
    <w:rsid w:val="6714684D"/>
    <w:rsid w:val="67247E19"/>
    <w:rsid w:val="68A869C0"/>
    <w:rsid w:val="68F53D72"/>
    <w:rsid w:val="6A11499E"/>
    <w:rsid w:val="6A9F48FD"/>
    <w:rsid w:val="6B0E6319"/>
    <w:rsid w:val="6B2D1BE2"/>
    <w:rsid w:val="6C841439"/>
    <w:rsid w:val="6D144001"/>
    <w:rsid w:val="6D9A4574"/>
    <w:rsid w:val="70FD4915"/>
    <w:rsid w:val="7206427E"/>
    <w:rsid w:val="72F67F2A"/>
    <w:rsid w:val="742E12AB"/>
    <w:rsid w:val="74371BBB"/>
    <w:rsid w:val="75987194"/>
    <w:rsid w:val="764D6CFC"/>
    <w:rsid w:val="790F432D"/>
    <w:rsid w:val="796108B4"/>
    <w:rsid w:val="7A69622D"/>
    <w:rsid w:val="7B0C506C"/>
    <w:rsid w:val="7C3A5748"/>
    <w:rsid w:val="7CC73606"/>
    <w:rsid w:val="7D171C49"/>
    <w:rsid w:val="7EDC28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3"/>
    <w:next w:val="3"/>
    <w:qFormat/>
    <w:uiPriority w:val="0"/>
    <w:pPr>
      <w:widowControl w:val="0"/>
      <w:numPr>
        <w:ilvl w:val="2"/>
        <w:numId w:val="1"/>
      </w:numPr>
      <w:spacing w:line="360" w:lineRule="auto"/>
      <w:jc w:val="both"/>
      <w:outlineLvl w:val="2"/>
    </w:pPr>
    <w:rPr>
      <w:rFonts w:ascii="Times New Roman" w:hAnsi="Times New Roman" w:eastAsia="仿宋_GB2312" w:cs="Times New Roman"/>
      <w:kern w:val="2"/>
      <w:sz w:val="32"/>
      <w:szCs w:val="24"/>
      <w:lang w:val="en-US" w:eastAsia="zh-CN" w:bidi="ar-SA"/>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3">
    <w:name w:val="Body Text"/>
    <w:basedOn w:val="1"/>
    <w:next w:val="1"/>
    <w:qFormat/>
    <w:uiPriority w:val="0"/>
  </w:style>
  <w:style w:type="paragraph" w:styleId="4">
    <w:name w:val="Normal Indent"/>
    <w:basedOn w:val="1"/>
    <w:unhideWhenUsed/>
    <w:qFormat/>
    <w:uiPriority w:val="0"/>
    <w:pPr>
      <w:ind w:firstLine="420" w:firstLineChars="200"/>
    </w:pPr>
  </w:style>
  <w:style w:type="paragraph" w:styleId="5">
    <w:name w:val="annotation text"/>
    <w:basedOn w:val="1"/>
    <w:link w:val="25"/>
    <w:unhideWhenUsed/>
    <w:qFormat/>
    <w:uiPriority w:val="0"/>
    <w:pPr>
      <w:jc w:val="left"/>
    </w:pPr>
  </w:style>
  <w:style w:type="paragraph" w:styleId="6">
    <w:name w:val="Plain Text"/>
    <w:basedOn w:val="1"/>
    <w:link w:val="22"/>
    <w:unhideWhenUsed/>
    <w:qFormat/>
    <w:uiPriority w:val="0"/>
    <w:rPr>
      <w:rFonts w:ascii="宋体" w:hAnsi="Courier New" w:cs="Courier New"/>
      <w:szCs w:val="21"/>
    </w:rPr>
  </w:style>
  <w:style w:type="paragraph" w:styleId="7">
    <w:name w:val="Date"/>
    <w:basedOn w:val="1"/>
    <w:next w:val="1"/>
    <w:link w:val="23"/>
    <w:unhideWhenUsed/>
    <w:qFormat/>
    <w:uiPriority w:val="99"/>
    <w:pPr>
      <w:ind w:left="100" w:leftChars="2500"/>
    </w:pPr>
  </w:style>
  <w:style w:type="paragraph" w:styleId="8">
    <w:name w:val="Balloon Text"/>
    <w:basedOn w:val="1"/>
    <w:link w:val="24"/>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5"/>
    <w:next w:val="5"/>
    <w:link w:val="26"/>
    <w:unhideWhenUsed/>
    <w:qFormat/>
    <w:uiPriority w:val="0"/>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unhideWhenUsed/>
    <w:qFormat/>
    <w:uiPriority w:val="0"/>
    <w:rPr>
      <w:color w:val="262626"/>
      <w:u w:val="none"/>
    </w:rPr>
  </w:style>
  <w:style w:type="character" w:styleId="17">
    <w:name w:val="Hyperlink"/>
    <w:basedOn w:val="15"/>
    <w:unhideWhenUsed/>
    <w:qFormat/>
    <w:uiPriority w:val="0"/>
    <w:rPr>
      <w:color w:val="262626"/>
      <w:u w:val="none"/>
    </w:rPr>
  </w:style>
  <w:style w:type="character" w:styleId="18">
    <w:name w:val="annotation reference"/>
    <w:basedOn w:val="15"/>
    <w:unhideWhenUsed/>
    <w:qFormat/>
    <w:uiPriority w:val="0"/>
    <w:rPr>
      <w:sz w:val="21"/>
      <w:szCs w:val="21"/>
    </w:rPr>
  </w:style>
  <w:style w:type="paragraph" w:customStyle="1" w:styleId="19">
    <w:name w:val="列出段落1"/>
    <w:basedOn w:val="1"/>
    <w:qFormat/>
    <w:uiPriority w:val="34"/>
    <w:pPr>
      <w:ind w:firstLine="420" w:firstLineChars="200"/>
    </w:pPr>
  </w:style>
  <w:style w:type="character" w:customStyle="1" w:styleId="20">
    <w:name w:val="页眉 Char"/>
    <w:basedOn w:val="15"/>
    <w:link w:val="10"/>
    <w:qFormat/>
    <w:uiPriority w:val="99"/>
    <w:rPr>
      <w:sz w:val="18"/>
      <w:szCs w:val="18"/>
    </w:rPr>
  </w:style>
  <w:style w:type="character" w:customStyle="1" w:styleId="21">
    <w:name w:val="页脚 Char"/>
    <w:basedOn w:val="15"/>
    <w:link w:val="9"/>
    <w:qFormat/>
    <w:uiPriority w:val="99"/>
    <w:rPr>
      <w:sz w:val="18"/>
      <w:szCs w:val="18"/>
    </w:rPr>
  </w:style>
  <w:style w:type="character" w:customStyle="1" w:styleId="22">
    <w:name w:val="纯文本 Char"/>
    <w:basedOn w:val="15"/>
    <w:link w:val="6"/>
    <w:qFormat/>
    <w:uiPriority w:val="0"/>
    <w:rPr>
      <w:rFonts w:ascii="宋体" w:hAnsi="Courier New" w:eastAsia="宋体" w:cs="Courier New"/>
      <w:szCs w:val="21"/>
    </w:rPr>
  </w:style>
  <w:style w:type="character" w:customStyle="1" w:styleId="23">
    <w:name w:val="日期 Char"/>
    <w:basedOn w:val="15"/>
    <w:link w:val="7"/>
    <w:semiHidden/>
    <w:qFormat/>
    <w:uiPriority w:val="99"/>
  </w:style>
  <w:style w:type="character" w:customStyle="1" w:styleId="24">
    <w:name w:val="批注框文本 Char"/>
    <w:basedOn w:val="15"/>
    <w:link w:val="8"/>
    <w:semiHidden/>
    <w:qFormat/>
    <w:uiPriority w:val="99"/>
    <w:rPr>
      <w:sz w:val="18"/>
      <w:szCs w:val="18"/>
    </w:rPr>
  </w:style>
  <w:style w:type="character" w:customStyle="1" w:styleId="25">
    <w:name w:val="批注文字 Char"/>
    <w:basedOn w:val="15"/>
    <w:link w:val="5"/>
    <w:qFormat/>
    <w:uiPriority w:val="0"/>
    <w:rPr>
      <w:rFonts w:ascii="Calibri" w:hAnsi="Calibri"/>
      <w:kern w:val="2"/>
      <w:sz w:val="21"/>
      <w:szCs w:val="22"/>
    </w:rPr>
  </w:style>
  <w:style w:type="character" w:customStyle="1" w:styleId="26">
    <w:name w:val="批注主题 Char"/>
    <w:basedOn w:val="25"/>
    <w:link w:val="12"/>
    <w:semiHidden/>
    <w:qFormat/>
    <w:uiPriority w:val="0"/>
    <w:rPr>
      <w:rFonts w:ascii="Calibri" w:hAnsi="Calibri"/>
      <w:b/>
      <w:bCs/>
      <w:kern w:val="2"/>
      <w:sz w:val="21"/>
      <w:szCs w:val="22"/>
    </w:rPr>
  </w:style>
  <w:style w:type="paragraph" w:customStyle="1" w:styleId="2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中国华融资产管理公司</Company>
  <Pages>3</Pages>
  <Words>215</Words>
  <Characters>1227</Characters>
  <Lines>10</Lines>
  <Paragraphs>2</Paragraphs>
  <TotalTime>1</TotalTime>
  <ScaleCrop>false</ScaleCrop>
  <LinksUpToDate>false</LinksUpToDate>
  <CharactersWithSpaces>1440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2019-03-11T01:18:00Z</dcterms:created>
  <dc:creator>cuijiankui</dc:creator>
  <cp:lastModifiedBy>史艳囡</cp:lastModifiedBy>
  <cp:lastPrinted>2019-03-11T03:36:00Z</cp:lastPrinted>
  <dcterms:modified xsi:type="dcterms:W3CDTF">2025-12-09T10:29:13Z</dcterms:modified>
  <dc:title>中国华融资产管理股份有限公司山东省分公司</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1034E0C97A854B0D9B75D257060FD24D</vt:lpwstr>
  </property>
</Properties>
</file>