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德州康健新型建材有限公司1户2笔不良债权</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4118</Words>
  <Characters>4161</Characters>
  <Lines>38</Lines>
  <Paragraphs>10</Paragraphs>
  <TotalTime>2</TotalTime>
  <ScaleCrop>false</ScaleCrop>
  <LinksUpToDate>false</LinksUpToDate>
  <CharactersWithSpaces>4425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高一诺</cp:lastModifiedBy>
  <cp:lastPrinted>2019-06-18T01:35:00Z</cp:lastPrinted>
  <dcterms:modified xsi:type="dcterms:W3CDTF">2025-12-10T05:41:39Z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eyJoZGlkIjoiOTI1NDUzY2U1MDEyZTRlZDQ1MTlhMWVjNjZmNTEzOTAiLCJ1c2VySWQiOiIxMTgwNjM2MzM3In0=</vt:lpwstr>
  </property>
</Properties>
</file>