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left="-283" w:leftChars="-135" w:right="-199" w:rightChars="-95" w:firstLine="280" w:firstLineChars="78"/>
        <w:jc w:val="center"/>
        <w:rPr>
          <w:rFonts w:ascii="方正小标宋简体" w:eastAsia="方正小标宋简体" w:cs="微软简标宋"/>
          <w:bCs/>
          <w:sz w:val="36"/>
          <w:szCs w:val="36"/>
        </w:rPr>
      </w:pPr>
    </w:p>
    <w:p>
      <w:pPr>
        <w:widowControl/>
        <w:snapToGrid w:val="0"/>
        <w:spacing w:line="560" w:lineRule="exact"/>
        <w:ind w:left="-283" w:leftChars="-135" w:right="-199" w:rightChars="-95" w:firstLine="280" w:firstLineChars="78"/>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承诺函</w:t>
      </w:r>
    </w:p>
    <w:p>
      <w:pPr>
        <w:widowControl/>
        <w:snapToGrid w:val="0"/>
        <w:spacing w:line="320" w:lineRule="exact"/>
        <w:ind w:right="-199" w:rightChars="-95" w:firstLine="164" w:firstLineChars="78"/>
        <w:jc w:val="left"/>
        <w:rPr>
          <w:rFonts w:ascii="宋体" w:hAnsi="宋体" w:eastAsia="宋体" w:cs="Times New Roman"/>
          <w:b/>
          <w:kern w:val="0"/>
          <w:szCs w:val="21"/>
        </w:rPr>
      </w:pPr>
      <w:r>
        <w:rPr>
          <w:rFonts w:hint="eastAsia" w:ascii="宋体" w:hAnsi="宋体" w:eastAsia="宋体" w:cs="Times New Roman"/>
          <w:b/>
          <w:kern w:val="0"/>
          <w:szCs w:val="21"/>
        </w:rPr>
        <w:t>特别提示：该《承诺函》仅适用于交易方式为网络竞价（含动态报价）的资产转让项目。</w:t>
      </w:r>
    </w:p>
    <w:p>
      <w:pPr>
        <w:widowControl/>
        <w:snapToGrid w:val="0"/>
        <w:spacing w:line="320" w:lineRule="exact"/>
        <w:ind w:right="-199" w:rightChars="-95" w:firstLine="164" w:firstLineChars="78"/>
        <w:jc w:val="left"/>
        <w:rPr>
          <w:rFonts w:ascii="宋体" w:hAnsi="宋体" w:eastAsia="宋体" w:cs="Times New Roman"/>
          <w:b/>
          <w:kern w:val="0"/>
          <w:szCs w:val="21"/>
        </w:rPr>
      </w:pPr>
    </w:p>
    <w:p>
      <w:pPr>
        <w:widowControl/>
        <w:snapToGrid w:val="0"/>
        <w:spacing w:line="320" w:lineRule="exact"/>
        <w:ind w:right="-199" w:rightChars="-95" w:firstLine="163" w:firstLineChars="78"/>
        <w:jc w:val="left"/>
        <w:rPr>
          <w:rFonts w:ascii="宋体" w:hAnsi="宋体" w:eastAsia="宋体" w:cs="Times New Roman"/>
          <w:b/>
          <w:kern w:val="0"/>
          <w:szCs w:val="21"/>
        </w:rPr>
      </w:pPr>
      <w:r>
        <w:rPr>
          <w:rFonts w:hint="eastAsia" w:cs="宋体" w:asciiTheme="minorEastAsia" w:hAnsiTheme="minorEastAsia"/>
          <w:kern w:val="0"/>
          <w:szCs w:val="21"/>
        </w:rPr>
        <w:t>山东产权交易中心（以下简称“中心”）：</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0" w:right="0"/>
        <w:jc w:val="left"/>
        <w:rPr>
          <w:rFonts w:asciiTheme="minorEastAsia" w:hAnsiTheme="minorEastAsia"/>
          <w:kern w:val="0"/>
          <w:szCs w:val="21"/>
        </w:rPr>
      </w:pPr>
      <w:r>
        <w:rPr>
          <w:rFonts w:hint="eastAsia" w:cs="宋体" w:asciiTheme="minorEastAsia" w:hAnsiTheme="minorEastAsia"/>
          <w:kern w:val="0"/>
          <w:sz w:val="21"/>
          <w:szCs w:val="21"/>
          <w:lang w:val="en-US" w:eastAsia="zh-CN" w:bidi="ar-SA"/>
        </w:rPr>
        <w:t xml:space="preserve">    </w:t>
      </w:r>
      <w:r>
        <w:rPr>
          <w:rFonts w:hint="eastAsia" w:cs="宋体" w:asciiTheme="minorEastAsia" w:hAnsiTheme="minorEastAsia" w:eastAsiaTheme="minorEastAsia"/>
          <w:kern w:val="0"/>
          <w:sz w:val="21"/>
          <w:szCs w:val="21"/>
          <w:lang w:val="en-US" w:eastAsia="zh-CN" w:bidi="ar-SA"/>
        </w:rPr>
        <w:t>我方提出参与受让</w:t>
      </w:r>
      <w:r>
        <w:rPr>
          <w:rStyle w:val="14"/>
          <w:rFonts w:ascii="Helvetica" w:hAnsi="Helvetica" w:eastAsia="Helvetica" w:cs="Helvetica"/>
          <w:b/>
          <w:bCs/>
          <w:i w:val="0"/>
          <w:iCs w:val="0"/>
          <w:caps w:val="0"/>
          <w:color w:val="666666"/>
          <w:spacing w:val="0"/>
          <w:sz w:val="21"/>
          <w:szCs w:val="21"/>
          <w:bdr w:val="none" w:color="auto" w:sz="0" w:space="0"/>
        </w:rPr>
        <w:t>山东省博兴县鲁阳钢铁有限公司债权</w:t>
      </w:r>
      <w:r>
        <w:rPr>
          <w:rFonts w:ascii="Helvetica" w:hAnsi="Helvetica" w:eastAsia="Helvetica" w:cs="Helvetica"/>
          <w:b/>
          <w:bCs/>
          <w:i w:val="0"/>
          <w:iCs w:val="0"/>
          <w:caps w:val="0"/>
          <w:color w:val="000000"/>
          <w:spacing w:val="0"/>
          <w:sz w:val="22"/>
          <w:szCs w:val="22"/>
        </w:rPr>
        <w:t>项目</w:t>
      </w:r>
      <w:r>
        <w:rPr>
          <w:rFonts w:hint="eastAsia" w:cs="宋体" w:asciiTheme="minorEastAsia" w:hAnsiTheme="minorEastAsia" w:eastAsiaTheme="minorEastAsia"/>
          <w:kern w:val="0"/>
          <w:sz w:val="21"/>
          <w:szCs w:val="21"/>
          <w:lang w:val="en-US" w:eastAsia="zh-CN" w:bidi="ar-SA"/>
        </w:rPr>
        <w:t xml:space="preserve">（项目编号：JRZC240061）的申请，现依照诚实守信的原则，就参与本项目网络竞价（含动态报价）活动做出如下承诺： </w:t>
      </w:r>
      <w:bookmarkStart w:id="0" w:name="_GoBack"/>
      <w:bookmarkEnd w:id="0"/>
    </w:p>
    <w:p>
      <w:pPr>
        <w:adjustRightInd w:val="0"/>
        <w:snapToGrid w:val="0"/>
        <w:spacing w:line="32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一、我方已仔细阅读并自愿遵守</w:t>
      </w:r>
      <w:r>
        <w:rPr>
          <w:rFonts w:hint="eastAsia" w:ascii="宋体" w:hAnsi="宋体" w:eastAsia="宋体" w:cs="宋体"/>
          <w:kern w:val="0"/>
          <w:szCs w:val="21"/>
        </w:rPr>
        <w:t>《山东产权交易中心资产交易规则》、《山东产权交易中心网络竞价实施办法》、《山东产权交易中心动态报价实施办法》以及</w:t>
      </w:r>
      <w:r>
        <w:rPr>
          <w:rFonts w:hint="eastAsia" w:cs="宋体" w:asciiTheme="minorEastAsia" w:hAnsiTheme="minorEastAsia"/>
          <w:kern w:val="0"/>
          <w:szCs w:val="21"/>
        </w:rPr>
        <w:t>本项目《交易须知》（以下简称“《须知》”），接受中心采取网络竞价（含动态报价）方式组织本次交易，对网络竞价（含动态报价）的交易方式和规则已全面了解，自愿遵守本项目《须知》等文件的相关约定，参加本项目网络竞价（含动态报价）活动，并参与报价程序，承诺本次受让申请及在网络竞价（动态报价）系统中的一切行为均代表我方的真实意思表示。</w:t>
      </w:r>
    </w:p>
    <w:p>
      <w:pPr>
        <w:adjustRightInd w:val="0"/>
        <w:snapToGrid w:val="0"/>
        <w:spacing w:line="32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二、我方愿意以不低于挂牌价购买在中心公开挂牌转让的本项目，承诺提交报名即视为以挂牌价出价。</w:t>
      </w:r>
    </w:p>
    <w:p>
      <w:pPr>
        <w:widowControl/>
        <w:spacing w:line="320" w:lineRule="exact"/>
        <w:ind w:right="-199" w:rightChars="-95" w:firstLine="420" w:firstLineChars="200"/>
        <w:rPr>
          <w:rFonts w:ascii="宋体" w:hAnsi="宋体" w:cs="仿宋_GB2312"/>
          <w:szCs w:val="21"/>
        </w:rPr>
      </w:pPr>
      <w:r>
        <w:rPr>
          <w:rFonts w:hint="eastAsia" w:ascii="宋体" w:hAnsi="宋体" w:cs="仿宋_GB2312"/>
          <w:szCs w:val="21"/>
        </w:rPr>
        <w:t>三、我方一旦提交报名，即视为已进行并完成针对本项目交易标的的现场勘察（包括但不限于查阅由转让方提供的标的相关的档案文件）并认可本项目转让公告（以下所指公告均以中心网站www.sdcqjy.com披露信息为准）及附件的全部内容。若我方无法前往本项目预展地点进行现场勘察的，则我方承诺认可交易标的现状。我方自行承担包括但不限于因所获取的表达信息不全面、错误或误解等而产生的相应后果。</w:t>
      </w:r>
    </w:p>
    <w:p>
      <w:pPr>
        <w:widowControl/>
        <w:spacing w:line="320" w:lineRule="exact"/>
        <w:ind w:right="-199" w:rightChars="-95" w:firstLine="420" w:firstLineChars="200"/>
        <w:rPr>
          <w:rFonts w:ascii="宋体" w:hAnsi="宋体" w:cs="仿宋_GB2312"/>
          <w:szCs w:val="21"/>
        </w:rPr>
      </w:pPr>
      <w:r>
        <w:rPr>
          <w:rFonts w:hint="eastAsia" w:ascii="宋体" w:hAnsi="宋体" w:cs="仿宋_GB2312"/>
          <w:szCs w:val="21"/>
        </w:rPr>
        <w:t>四、网络竞价（含动态报价）成交后，不得以不了解网络竞价（含动态报价）交易方式或不了解所竞得标的为由予拒绝受让或拒绝付款。交易标的因权属、真伪、质量或使用性能等产生的问题与中心无关 。</w:t>
      </w:r>
    </w:p>
    <w:p>
      <w:pPr>
        <w:widowControl/>
        <w:spacing w:line="32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五、我方保证向中心提交的资料、披露的信息是真实、准确、完整、及时的，不存在虚假、误导性或重大遗漏。</w:t>
      </w:r>
    </w:p>
    <w:p>
      <w:pPr>
        <w:widowControl/>
        <w:spacing w:line="320" w:lineRule="exact"/>
        <w:ind w:right="-199" w:rightChars="-95" w:firstLine="420" w:firstLineChars="200"/>
        <w:rPr>
          <w:b/>
        </w:rPr>
      </w:pPr>
      <w:r>
        <w:rPr>
          <w:rFonts w:hint="eastAsia"/>
        </w:rPr>
        <w:t>六、我方承诺在被确定为受让方后按照本项目须知的约定与转让方签署《债权转让协议》，并在规定的时间内将应付交易价款及交易费用交纳至中心指定账户。</w:t>
      </w:r>
      <w:r>
        <w:rPr>
          <w:rFonts w:hint="eastAsia"/>
          <w:b/>
          <w:lang w:val="en-US" w:eastAsia="zh-CN"/>
        </w:rPr>
        <w:t>该项目</w:t>
      </w:r>
      <w:r>
        <w:rPr>
          <w:rFonts w:hint="eastAsia"/>
          <w:b/>
        </w:rPr>
        <w:t>按成交金额的</w:t>
      </w:r>
      <w:r>
        <w:rPr>
          <w:rFonts w:hint="eastAsia"/>
          <w:b/>
          <w:lang w:val="en-US" w:eastAsia="zh-CN"/>
        </w:rPr>
        <w:t>1</w:t>
      </w:r>
      <w:r>
        <w:rPr>
          <w:rFonts w:hint="eastAsia"/>
          <w:b/>
        </w:rPr>
        <w:t>‰收取</w:t>
      </w:r>
      <w:r>
        <w:rPr>
          <w:rFonts w:hint="eastAsia"/>
          <w:b/>
          <w:lang w:val="en-US" w:eastAsia="zh-CN"/>
        </w:rPr>
        <w:t>交易费用</w:t>
      </w:r>
      <w:r>
        <w:rPr>
          <w:rFonts w:hint="eastAsia"/>
          <w:b/>
        </w:rPr>
        <w:t>。</w:t>
      </w:r>
    </w:p>
    <w:p>
      <w:pPr>
        <w:widowControl/>
        <w:spacing w:line="320" w:lineRule="exact"/>
        <w:ind w:right="-199" w:rightChars="-95" w:firstLine="420" w:firstLineChars="200"/>
        <w:rPr>
          <w:rFonts w:ascii="宋体" w:hAnsi="宋体" w:eastAsia="宋体" w:cs="宋体"/>
          <w:kern w:val="0"/>
          <w:szCs w:val="21"/>
        </w:rPr>
      </w:pPr>
      <w:r>
        <w:rPr>
          <w:rFonts w:hint="eastAsia"/>
        </w:rPr>
        <w:t>七、我方同意本项目公告中与转让相关的其他条件，并承诺符合相关受让方资格条件。</w:t>
      </w:r>
      <w:r>
        <w:rPr>
          <w:rFonts w:hint="eastAsia" w:ascii="宋体" w:hAnsi="宋体" w:cs="宋体"/>
          <w:kern w:val="0"/>
          <w:szCs w:val="21"/>
        </w:rPr>
        <w:t>如因资格不符对转让方及中心造成损失的，我方承担违约责任。</w:t>
      </w:r>
    </w:p>
    <w:p>
      <w:pPr>
        <w:widowControl/>
        <w:spacing w:line="32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八、我方同意，如我方违反本项目《须知》及本承诺的，中心有权取消我方的竞买资格，并同意</w:t>
      </w:r>
      <w:r>
        <w:rPr>
          <w:rFonts w:hint="eastAsia"/>
        </w:rPr>
        <w:t>中心根据《山东产权交易中心产权交易保证金操作细则》及本项目《交易须知》</w:t>
      </w:r>
      <w:r>
        <w:rPr>
          <w:rFonts w:hint="eastAsia" w:cs="宋体" w:asciiTheme="minorEastAsia" w:hAnsiTheme="minorEastAsia"/>
          <w:kern w:val="0"/>
          <w:szCs w:val="21"/>
        </w:rPr>
        <w:t>扣收我方交纳的保证金。</w:t>
      </w:r>
    </w:p>
    <w:p>
      <w:pPr>
        <w:widowControl/>
        <w:spacing w:line="32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九、我方同意，被确定为受让方后不能在规定时间内付清交易价款及交易费用、按要求完成项目移交的，承诺承担以下责任：</w:t>
      </w:r>
    </w:p>
    <w:p>
      <w:pPr>
        <w:widowControl/>
        <w:spacing w:line="32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未能付清全部交易价款及交易费用的，构成违约，同意按照挂牌价格的10%向中心支付违约金（用于赔偿债权转让方的损失），并赔偿利益受损方的损失；转让方和中心有权再次组织本项目的交易活动，再次成交的成交价如低于本次成交价，则差额部分由我方补足，并承担相关费用；同时本次交易活动我方及转让方的全部交易费用由我方承担。我方保证金不足以弥补上述费用的，转让方和中心有权向违约方进行追索。</w:t>
      </w:r>
    </w:p>
    <w:p>
      <w:pPr>
        <w:widowControl/>
        <w:spacing w:line="320" w:lineRule="exact"/>
        <w:ind w:right="-199" w:rightChars="-95" w:firstLine="420" w:firstLineChars="200"/>
        <w:rPr>
          <w:rFonts w:cs="宋体"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未按要求完成项目交割的，转让方不再承担相应保管责任，标的的毁损灭失风险由我方承担。在标的移交过程中所发生的包括但不限于运输、拆解、保管、处理等一切费用均由我方自行承担，并同意从我方已交纳的保证金中扣除。移交过程中如造成标的存储地点的硬件设施及标的本身的损毁由我方承担责任。</w:t>
      </w:r>
    </w:p>
    <w:p>
      <w:pPr>
        <w:widowControl/>
        <w:spacing w:line="32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十、本承诺函传真件、扫描件与原件具有同等法律效力。</w:t>
      </w:r>
    </w:p>
    <w:p>
      <w:pPr>
        <w:widowControl/>
        <w:spacing w:line="320" w:lineRule="exact"/>
        <w:ind w:right="-199" w:rightChars="-95" w:firstLine="420" w:firstLineChars="200"/>
        <w:rPr>
          <w:rFonts w:cs="宋体" w:asciiTheme="minorEastAsia" w:hAnsiTheme="minorEastAsia"/>
          <w:kern w:val="0"/>
          <w:szCs w:val="21"/>
        </w:rPr>
      </w:pPr>
    </w:p>
    <w:p>
      <w:pPr>
        <w:widowControl/>
        <w:spacing w:line="320" w:lineRule="exact"/>
        <w:ind w:left="-283" w:leftChars="-135" w:right="-199" w:rightChars="-95" w:firstLine="163" w:firstLineChars="78"/>
      </w:pP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pacing w:line="360" w:lineRule="exact"/>
        <w:ind w:left="-283" w:leftChars="-135" w:right="-199" w:rightChars="-95" w:firstLine="163" w:firstLineChars="78"/>
        <w:rPr>
          <w:rFonts w:cs="宋体" w:asciiTheme="minorEastAsia" w:hAnsiTheme="minorEastAsia"/>
          <w:kern w:val="0"/>
          <w:szCs w:val="21"/>
        </w:rPr>
      </w:pPr>
    </w:p>
    <w:p>
      <w:pPr>
        <w:widowControl/>
        <w:spacing w:line="360" w:lineRule="exact"/>
        <w:ind w:left="-283" w:leftChars="-135" w:right="-199" w:rightChars="-95" w:firstLine="163" w:firstLineChars="78"/>
        <w:rPr>
          <w:rFonts w:cs="宋体" w:asciiTheme="minorEastAsia" w:hAnsiTheme="minorEastAsia"/>
          <w:kern w:val="0"/>
          <w:szCs w:val="21"/>
        </w:rPr>
      </w:pPr>
    </w:p>
    <w:p>
      <w:pPr>
        <w:widowControl/>
        <w:spacing w:line="360" w:lineRule="exact"/>
        <w:ind w:left="-283" w:leftChars="-135" w:right="-199" w:rightChars="-95" w:firstLine="163" w:firstLineChars="78"/>
        <w:rPr>
          <w:rFonts w:cs="宋体" w:asciiTheme="minorEastAsia" w:hAnsiTheme="minorEastAsia"/>
          <w:kern w:val="0"/>
          <w:szCs w:val="21"/>
        </w:rPr>
      </w:pPr>
    </w:p>
    <w:p>
      <w:pPr>
        <w:widowControl/>
        <w:snapToGrid w:val="0"/>
        <w:spacing w:line="560" w:lineRule="exact"/>
        <w:ind w:left="-283" w:leftChars="-135" w:right="-199" w:rightChars="-95" w:firstLine="280" w:firstLineChars="78"/>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交易须知</w:t>
      </w:r>
    </w:p>
    <w:p>
      <w:pPr>
        <w:widowControl/>
        <w:snapToGrid w:val="0"/>
        <w:spacing w:line="320" w:lineRule="exact"/>
        <w:ind w:right="-199" w:rightChars="-95" w:firstLine="164" w:firstLineChars="78"/>
        <w:jc w:val="left"/>
        <w:rPr>
          <w:rFonts w:ascii="宋体" w:hAnsi="宋体" w:eastAsia="宋体" w:cs="Times New Roman"/>
          <w:b/>
          <w:kern w:val="0"/>
          <w:szCs w:val="21"/>
        </w:rPr>
      </w:pPr>
      <w:r>
        <w:rPr>
          <w:rFonts w:hint="eastAsia" w:ascii="宋体" w:hAnsi="宋体" w:eastAsia="宋体" w:cs="Times New Roman"/>
          <w:b/>
          <w:kern w:val="0"/>
          <w:szCs w:val="21"/>
        </w:rPr>
        <w:t>特别提示：该《交易须知》仅适用于交易方式为网络竞价（含动态报价）的资产转让项目。</w:t>
      </w:r>
    </w:p>
    <w:p>
      <w:pPr>
        <w:widowControl/>
        <w:adjustRightInd w:val="0"/>
        <w:snapToGrid w:val="0"/>
        <w:spacing w:line="360" w:lineRule="exact"/>
        <w:ind w:left="-283" w:leftChars="-135" w:right="-199" w:rightChars="-95" w:firstLine="187" w:firstLineChars="78"/>
        <w:jc w:val="center"/>
        <w:rPr>
          <w:rFonts w:ascii="宋体" w:hAnsi="宋体" w:cs="仿宋_GB2312"/>
          <w:sz w:val="24"/>
          <w:szCs w:val="24"/>
        </w:rPr>
      </w:pPr>
    </w:p>
    <w:p>
      <w:pPr>
        <w:numPr>
          <w:ilvl w:val="0"/>
          <w:numId w:val="1"/>
        </w:numPr>
        <w:adjustRightInd w:val="0"/>
        <w:snapToGrid w:val="0"/>
        <w:spacing w:line="360" w:lineRule="exact"/>
        <w:ind w:firstLine="420" w:firstLineChars="200"/>
        <w:jc w:val="left"/>
        <w:rPr>
          <w:rFonts w:asciiTheme="minorEastAsia" w:hAnsiTheme="minorEastAsia"/>
          <w:szCs w:val="21"/>
        </w:rPr>
      </w:pPr>
      <w:r>
        <w:rPr>
          <w:rFonts w:hint="eastAsia" w:asciiTheme="minorEastAsia" w:hAnsiTheme="minorEastAsia"/>
          <w:szCs w:val="21"/>
        </w:rPr>
        <w:t xml:space="preserve"> 本项目《交易须知》（以下简称“《须知》”）依据《山东产权交易中心资产交易规则》、《山东产权交易中心网络竞价实施办法》和《山东产权交易中心动态报价实施办法》制定。适用于交易方式为网络竞价或动态报价的资产转让项目。</w:t>
      </w:r>
    </w:p>
    <w:p>
      <w:pPr>
        <w:widowControl/>
        <w:spacing w:line="360" w:lineRule="exact"/>
        <w:ind w:firstLine="420" w:firstLineChars="200"/>
        <w:jc w:val="left"/>
        <w:rPr>
          <w:rFonts w:cs="宋体" w:asciiTheme="minorEastAsia" w:hAnsiTheme="minorEastAsia"/>
          <w:kern w:val="0"/>
          <w:szCs w:val="21"/>
        </w:rPr>
      </w:pPr>
      <w:r>
        <w:rPr>
          <w:rFonts w:hint="eastAsia" w:cs="宋体" w:asciiTheme="minorEastAsia" w:hAnsiTheme="minorEastAsia"/>
          <w:kern w:val="0"/>
          <w:szCs w:val="21"/>
        </w:rPr>
        <w:t>二、本项目转让方决定通过转让公告（以下所指公告均以山东产权交易中心网站www.sdcqjy.com披露内容为准）披露的交易方式确定受让方，本次网络竞价活动（含动态报价）由山东产权交易中心（以下简称“中心”）组织实施。公告期满后，只产生一个符合条件的意向受让方的，中心采取协议方式组织交易；产生两个及以上符合条件的意向受让方的，中心采取竞价方式组织交易。</w:t>
      </w:r>
    </w:p>
    <w:p>
      <w:pPr>
        <w:widowControl/>
        <w:adjustRightInd w:val="0"/>
        <w:snapToGrid w:val="0"/>
        <w:spacing w:line="360" w:lineRule="exact"/>
        <w:ind w:firstLine="420" w:firstLineChars="200"/>
        <w:jc w:val="left"/>
        <w:rPr>
          <w:rFonts w:cs="宋体" w:asciiTheme="minorEastAsia" w:hAnsiTheme="minorEastAsia"/>
          <w:kern w:val="0"/>
          <w:szCs w:val="21"/>
        </w:rPr>
      </w:pPr>
      <w:r>
        <w:rPr>
          <w:rFonts w:hint="eastAsia" w:cs="宋体" w:asciiTheme="minorEastAsia" w:hAnsiTheme="minorEastAsia"/>
          <w:kern w:val="0"/>
          <w:szCs w:val="21"/>
        </w:rPr>
        <w:t>三、</w:t>
      </w:r>
      <w:r>
        <w:rPr>
          <w:rFonts w:hint="eastAsia" w:ascii="宋体" w:hAnsi="宋体" w:eastAsia="宋体" w:cs="宋体"/>
          <w:kern w:val="0"/>
          <w:szCs w:val="21"/>
        </w:rPr>
        <w:t>意向受让方应按公告要求的有效报名时间段内自行登陆中心网站或委托中心会员办理报名登记手续，并按照公告的提示提交报名材料，逾期未按规定提交报名材料的，视为放弃受让资格。</w:t>
      </w:r>
    </w:p>
    <w:p>
      <w:pPr>
        <w:widowControl/>
        <w:adjustRightInd w:val="0"/>
        <w:snapToGrid w:val="0"/>
        <w:spacing w:line="360" w:lineRule="exact"/>
        <w:ind w:firstLine="420" w:firstLineChars="200"/>
        <w:jc w:val="left"/>
        <w:rPr>
          <w:rFonts w:ascii="宋体" w:hAnsi="宋体" w:eastAsia="宋体" w:cs="宋体"/>
          <w:kern w:val="0"/>
          <w:szCs w:val="21"/>
        </w:rPr>
      </w:pPr>
      <w:r>
        <w:rPr>
          <w:rFonts w:hint="eastAsia" w:cs="宋体" w:asciiTheme="minorEastAsia" w:hAnsiTheme="minorEastAsia"/>
          <w:kern w:val="0"/>
          <w:szCs w:val="21"/>
        </w:rPr>
        <w:t>四、</w:t>
      </w:r>
      <w:r>
        <w:rPr>
          <w:rFonts w:hint="eastAsia" w:ascii="宋体" w:hAnsi="宋体" w:eastAsia="宋体" w:cs="宋体"/>
          <w:kern w:val="0"/>
          <w:szCs w:val="21"/>
        </w:rPr>
        <w:t>意向受让方应于挂牌截止日17时前交纳本项目保证金到中心指定账户</w:t>
      </w:r>
      <w:r>
        <w:rPr>
          <w:rFonts w:hint="eastAsia" w:ascii="宋体" w:hAnsi="宋体" w:eastAsia="宋体" w:cs="宋体"/>
          <w:b/>
          <w:bCs/>
          <w:kern w:val="0"/>
          <w:szCs w:val="21"/>
        </w:rPr>
        <w:t>（以交易系统推送的收款账户信息为准）</w:t>
      </w:r>
      <w:r>
        <w:rPr>
          <w:rFonts w:hint="eastAsia" w:ascii="宋体" w:hAnsi="宋体" w:eastAsia="宋体" w:cs="宋体"/>
          <w:kern w:val="0"/>
          <w:szCs w:val="21"/>
        </w:rPr>
        <w:t>，保证金未按规定时间到账的（以银行到账时间为准），视为放弃受让资格。本项目保证金金额详见网站公告。</w:t>
      </w:r>
    </w:p>
    <w:p>
      <w:pPr>
        <w:widowControl/>
        <w:adjustRightInd w:val="0"/>
        <w:snapToGrid w:val="0"/>
        <w:spacing w:line="360" w:lineRule="exact"/>
        <w:ind w:firstLine="420" w:firstLineChars="200"/>
        <w:jc w:val="left"/>
        <w:rPr>
          <w:rFonts w:ascii="宋体" w:hAnsi="宋体" w:eastAsia="宋体" w:cs="宋体"/>
          <w:kern w:val="0"/>
          <w:szCs w:val="21"/>
        </w:rPr>
      </w:pPr>
      <w:r>
        <w:rPr>
          <w:rFonts w:hint="eastAsia" w:ascii="宋体" w:hAnsi="宋体" w:eastAsia="宋体" w:cs="宋体"/>
          <w:kern w:val="0"/>
          <w:szCs w:val="21"/>
        </w:rPr>
        <w:t>意向受让方须通过交易系统绑定本项目保证金付款银行信息，并使用该付款银行账户支付本项目保证金，因意向受让方未通过交易系统确认真实有效的付款银行信息，导致本项目保证金无法在挂牌截止前通过系统审核的，造成的一切后果由意向受让方承担。</w:t>
      </w:r>
    </w:p>
    <w:p>
      <w:pPr>
        <w:widowControl/>
        <w:adjustRightInd w:val="0"/>
        <w:snapToGrid w:val="0"/>
        <w:spacing w:line="360" w:lineRule="exact"/>
        <w:ind w:firstLine="420" w:firstLineChars="200"/>
        <w:jc w:val="left"/>
        <w:rPr>
          <w:rFonts w:cs="宋体" w:asciiTheme="minorEastAsia" w:hAnsiTheme="minorEastAsia"/>
          <w:kern w:val="0"/>
          <w:szCs w:val="21"/>
        </w:rPr>
      </w:pPr>
      <w:r>
        <w:rPr>
          <w:rFonts w:hint="eastAsia" w:cs="宋体" w:asciiTheme="minorEastAsia" w:hAnsiTheme="minorEastAsia"/>
          <w:kern w:val="0"/>
          <w:szCs w:val="21"/>
        </w:rPr>
        <w:t>五、</w:t>
      </w:r>
      <w:r>
        <w:rPr>
          <w:rFonts w:hint="eastAsia" w:ascii="宋体" w:hAnsi="宋体" w:eastAsia="宋体" w:cs="宋体"/>
          <w:kern w:val="0"/>
          <w:szCs w:val="21"/>
        </w:rPr>
        <w:t>参加本项目网络竞价（含动态报价）的竞买人（已交纳本项目保证金并经中心审核通过的意向受让方），应已了解并遵守《山东产权交易中心资产交易规则》、《山东产权交易中心网络竞价实施办法》和《山东产权交易中心动态报价实施办法》的规定，认真阅读了本《须知》并承诺接受其全部内容。</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六、竞买人应于网络竞价活动开始前，登录山东产权交易中心网站（www.sdcqjy.com）了解并掌握相关操作规程。</w:t>
      </w:r>
    </w:p>
    <w:p>
      <w:pPr>
        <w:widowControl/>
        <w:adjustRightInd w:val="0"/>
        <w:snapToGrid w:val="0"/>
        <w:spacing w:line="360" w:lineRule="exact"/>
        <w:ind w:firstLine="420" w:firstLineChars="200"/>
        <w:jc w:val="left"/>
        <w:rPr>
          <w:rFonts w:asciiTheme="minorEastAsia" w:hAnsiTheme="minorEastAsia"/>
          <w:szCs w:val="21"/>
        </w:rPr>
      </w:pPr>
      <w:r>
        <w:rPr>
          <w:rFonts w:hint="eastAsia" w:cs="宋体" w:asciiTheme="minorEastAsia" w:hAnsiTheme="minorEastAsia"/>
          <w:kern w:val="0"/>
          <w:szCs w:val="21"/>
        </w:rPr>
        <w:t>七、本项目标的信息详情详见网站披露信息。</w:t>
      </w:r>
      <w:r>
        <w:rPr>
          <w:rFonts w:hint="eastAsia" w:asciiTheme="minorEastAsia" w:hAnsiTheme="minorEastAsia"/>
          <w:szCs w:val="21"/>
        </w:rPr>
        <w:t>中心按转让方要求进行标的图片、名称、文字描述及实物信息等内容发布，仅对信息进行形式审核，不保证交易信息的真实性、完整性和有效性，不保证交易标的名称、图片、描述与实物相符，不对标的质量、材质和使用性能等做任何担保。</w:t>
      </w:r>
    </w:p>
    <w:p>
      <w:pPr>
        <w:widowControl/>
        <w:adjustRightInd w:val="0"/>
        <w:snapToGrid w:val="0"/>
        <w:spacing w:line="360" w:lineRule="exact"/>
        <w:ind w:firstLine="420" w:firstLineChars="200"/>
        <w:jc w:val="left"/>
        <w:rPr>
          <w:rFonts w:asciiTheme="minorEastAsia" w:hAnsiTheme="minorEastAsia"/>
          <w:szCs w:val="21"/>
        </w:rPr>
      </w:pPr>
      <w:r>
        <w:rPr>
          <w:rFonts w:hint="eastAsia" w:asciiTheme="minorEastAsia" w:hAnsiTheme="minorEastAsia"/>
          <w:szCs w:val="21"/>
        </w:rPr>
        <w:t>八、</w:t>
      </w:r>
      <w:r>
        <w:rPr>
          <w:rFonts w:hint="eastAsia" w:ascii="宋体" w:hAnsi="宋体" w:eastAsia="宋体" w:cs="Times New Roman"/>
          <w:szCs w:val="21"/>
        </w:rPr>
        <w:t>意向受让方应自行勘察（包括但不限于查阅由转让方提供的标的相关的档案文件）交易标的实物，并认可本项目转让公告（以下所指公告均以中心网站www.sdcqjy.com披露信息为准）及附件的全部内容。若意向受让方无法前往本项目预展地点进行现场勘察的，则须承诺认可交易标的现状，并自行承担包括但不限于因所获取的表达信息不全面、错误或误解等而产生的相应后果。</w:t>
      </w:r>
    </w:p>
    <w:p>
      <w:pPr>
        <w:widowControl/>
        <w:adjustRightInd w:val="0"/>
        <w:snapToGrid w:val="0"/>
        <w:spacing w:line="360" w:lineRule="exact"/>
        <w:ind w:firstLine="420" w:firstLineChars="200"/>
        <w:jc w:val="left"/>
        <w:rPr>
          <w:rFonts w:asciiTheme="minorEastAsia" w:hAnsiTheme="minorEastAsia"/>
          <w:szCs w:val="21"/>
        </w:rPr>
      </w:pPr>
      <w:r>
        <w:rPr>
          <w:rFonts w:hint="eastAsia" w:asciiTheme="minorEastAsia" w:hAnsiTheme="minorEastAsia"/>
          <w:szCs w:val="21"/>
        </w:rPr>
        <w:t>九、</w:t>
      </w:r>
      <w:r>
        <w:rPr>
          <w:rFonts w:hint="eastAsia" w:ascii="宋体" w:hAnsi="宋体" w:eastAsia="宋体" w:cs="Times New Roman"/>
          <w:b/>
          <w:szCs w:val="21"/>
        </w:rPr>
        <w:t>意向受让方应当具备公告要求的资格条件，同意本项目公告中与转让相关的其他条件，并承诺符合相关受让方资格条件。如因资格不符对转让方及中心造成损失的，须承担违约责任。</w:t>
      </w:r>
    </w:p>
    <w:p>
      <w:pPr>
        <w:widowControl/>
        <w:adjustRightInd w:val="0"/>
        <w:snapToGrid w:val="0"/>
        <w:spacing w:line="360" w:lineRule="exact"/>
        <w:ind w:firstLine="420" w:firstLineChars="200"/>
        <w:jc w:val="left"/>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pPr>
        <w:widowControl/>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宋体"/>
          <w:kern w:val="0"/>
          <w:szCs w:val="21"/>
        </w:rPr>
        <w:t>十一、意向受让方须同意以不低于挂牌价购买在中心公开挂牌转让的</w:t>
      </w:r>
      <w:r>
        <w:rPr>
          <w:rFonts w:hint="eastAsia" w:ascii="宋体" w:hAnsi="宋体" w:eastAsia="宋体" w:cs="宋体"/>
          <w:kern w:val="0"/>
          <w:szCs w:val="21"/>
          <w:u w:val="single"/>
        </w:rPr>
        <w:t>本</w:t>
      </w:r>
      <w:r>
        <w:rPr>
          <w:rFonts w:hint="eastAsia" w:ascii="宋体" w:hAnsi="宋体" w:eastAsia="宋体" w:cs="宋体"/>
          <w:kern w:val="0"/>
          <w:szCs w:val="21"/>
        </w:rPr>
        <w:t>项目。</w:t>
      </w:r>
    </w:p>
    <w:p>
      <w:pPr>
        <w:widowControl/>
        <w:adjustRightInd w:val="0"/>
        <w:snapToGrid w:val="0"/>
        <w:spacing w:line="380" w:lineRule="atLeast"/>
        <w:ind w:firstLine="420" w:firstLineChars="200"/>
        <w:jc w:val="left"/>
        <w:rPr>
          <w:rFonts w:ascii="宋体" w:hAnsi="宋体" w:eastAsia="宋体" w:cs="宋体"/>
          <w:kern w:val="0"/>
          <w:szCs w:val="21"/>
        </w:rPr>
      </w:pPr>
      <w:r>
        <w:rPr>
          <w:rFonts w:hint="eastAsia" w:cs="宋体" w:asciiTheme="minorEastAsia" w:hAnsiTheme="minorEastAsia"/>
          <w:kern w:val="0"/>
          <w:szCs w:val="21"/>
        </w:rPr>
        <w:t>十二、</w:t>
      </w:r>
      <w:r>
        <w:rPr>
          <w:rFonts w:hint="eastAsia" w:ascii="宋体" w:hAnsi="宋体" w:eastAsia="宋体" w:cs="宋体"/>
          <w:kern w:val="0"/>
          <w:szCs w:val="21"/>
        </w:rPr>
        <w:t>网络竞价（含动态报价）规则：</w:t>
      </w:r>
    </w:p>
    <w:p>
      <w:pPr>
        <w:widowControl/>
        <w:adjustRightInd w:val="0"/>
        <w:snapToGrid w:val="0"/>
        <w:spacing w:line="380" w:lineRule="atLeast"/>
        <w:ind w:firstLine="420" w:firstLineChars="200"/>
        <w:jc w:val="left"/>
        <w:rPr>
          <w:rFonts w:ascii="宋体" w:hAnsi="宋体" w:eastAsia="宋体" w:cs="宋体"/>
          <w:kern w:val="0"/>
          <w:szCs w:val="21"/>
        </w:rPr>
      </w:pPr>
      <w:r>
        <w:rPr>
          <w:rFonts w:hint="eastAsia" w:ascii="宋体" w:hAnsi="宋体" w:eastAsia="宋体" w:cs="宋体"/>
          <w:kern w:val="0"/>
          <w:szCs w:val="21"/>
        </w:rPr>
        <w:t>1、交易方式为网络竞价的，如公告</w:t>
      </w:r>
      <w:r>
        <w:rPr>
          <w:rFonts w:ascii="宋体" w:hAnsi="宋体" w:eastAsia="宋体" w:cs="宋体"/>
          <w:kern w:val="0"/>
          <w:szCs w:val="21"/>
        </w:rPr>
        <w:t>期满后</w:t>
      </w:r>
      <w:r>
        <w:rPr>
          <w:rFonts w:hint="eastAsia" w:ascii="宋体" w:hAnsi="宋体" w:eastAsia="宋体" w:cs="宋体"/>
          <w:kern w:val="0"/>
          <w:szCs w:val="21"/>
        </w:rPr>
        <w:t>，产生两个及以上符合条件的意向受让方的，意向受让方须参与后续竞价程序。在竞价过程中以挂牌价为起始价格，各竞买人均不应价的，视为违约。</w:t>
      </w:r>
    </w:p>
    <w:p>
      <w:pPr>
        <w:widowControl/>
        <w:adjustRightInd w:val="0"/>
        <w:snapToGrid w:val="0"/>
        <w:spacing w:line="380" w:lineRule="atLeast"/>
        <w:ind w:firstLine="420" w:firstLineChars="200"/>
        <w:jc w:val="left"/>
        <w:rPr>
          <w:rFonts w:ascii="宋体" w:hAnsi="宋体" w:eastAsia="宋体" w:cs="宋体"/>
          <w:kern w:val="0"/>
          <w:szCs w:val="21"/>
        </w:rPr>
      </w:pPr>
      <w:r>
        <w:rPr>
          <w:rFonts w:hint="eastAsia" w:ascii="宋体" w:hAnsi="宋体" w:eastAsia="宋体" w:cs="宋体"/>
          <w:kern w:val="0"/>
          <w:szCs w:val="21"/>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firstLine="420" w:firstLineChars="200"/>
        <w:jc w:val="left"/>
        <w:rPr>
          <w:rFonts w:ascii="宋体" w:hAnsi="宋体" w:eastAsia="宋体" w:cs="宋体"/>
          <w:kern w:val="0"/>
          <w:szCs w:val="21"/>
        </w:rPr>
      </w:pPr>
      <w:r>
        <w:rPr>
          <w:rFonts w:hint="eastAsia" w:ascii="宋体" w:hAnsi="宋体" w:eastAsia="宋体" w:cs="宋体"/>
          <w:kern w:val="0"/>
          <w:szCs w:val="21"/>
        </w:rPr>
        <w:t>网络竞价加价规则：</w:t>
      </w:r>
    </w:p>
    <w:p>
      <w:pPr>
        <w:widowControl/>
        <w:adjustRightInd w:val="0"/>
        <w:snapToGrid w:val="0"/>
        <w:spacing w:line="360" w:lineRule="exact"/>
        <w:ind w:firstLine="420" w:firstLineChars="200"/>
        <w:jc w:val="left"/>
        <w:rPr>
          <w:rFonts w:ascii="宋体" w:hAnsi="宋体" w:eastAsia="宋体" w:cs="宋体"/>
          <w:kern w:val="0"/>
          <w:szCs w:val="21"/>
        </w:rPr>
      </w:pPr>
      <w:r>
        <w:rPr>
          <w:rFonts w:hint="eastAsia" w:ascii="宋体" w:hAnsi="宋体" w:eastAsia="宋体" w:cs="宋体"/>
          <w:kern w:val="0"/>
          <w:szCs w:val="21"/>
        </w:rPr>
        <w:t>除对挂牌底价应价外，各竞买人每次加价不得低于加价幅度。</w:t>
      </w:r>
    </w:p>
    <w:p>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2、交易方式为动态报价的，本次动态报价活动以挂牌价为起始价格，各竞买人均不应价的，视为违约。</w:t>
      </w:r>
    </w:p>
    <w:p>
      <w:pPr>
        <w:adjustRightInd w:val="0"/>
        <w:snapToGrid w:val="0"/>
        <w:spacing w:line="360" w:lineRule="exact"/>
        <w:ind w:firstLine="420" w:firstLineChars="200"/>
        <w:jc w:val="left"/>
        <w:rPr>
          <w:rFonts w:ascii="宋体" w:hAnsi="宋体" w:eastAsia="宋体" w:cs="仿宋_GB2312"/>
          <w:szCs w:val="21"/>
        </w:rPr>
      </w:pPr>
      <w:r>
        <w:rPr>
          <w:rFonts w:hint="eastAsia" w:ascii="宋体" w:hAnsi="宋体" w:eastAsia="宋体" w:cs="仿宋_GB2312"/>
          <w:szCs w:val="21"/>
        </w:rPr>
        <w:t>动态报价由定时报价期和连续报价期组成。</w:t>
      </w:r>
    </w:p>
    <w:p>
      <w:pPr>
        <w:widowControl/>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仿宋_GB2312"/>
          <w:szCs w:val="21"/>
        </w:rPr>
        <w:t>（1）定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2）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firstLine="420" w:firstLineChars="200"/>
        <w:jc w:val="left"/>
        <w:rPr>
          <w:rFonts w:ascii="宋体" w:hAnsi="宋体" w:eastAsia="宋体" w:cs="Times New Roman"/>
          <w:szCs w:val="21"/>
        </w:rPr>
      </w:pPr>
      <w:r>
        <w:rPr>
          <w:rFonts w:hint="eastAsia" w:ascii="宋体" w:hAnsi="宋体" w:eastAsia="宋体" w:cs="Times New Roman"/>
          <w:szCs w:val="21"/>
        </w:rPr>
        <w:t>动态报价加价规则：</w:t>
      </w:r>
    </w:p>
    <w:p>
      <w:pPr>
        <w:widowControl/>
        <w:adjustRightInd w:val="0"/>
        <w:snapToGrid w:val="0"/>
        <w:spacing w:line="380" w:lineRule="atLeast"/>
        <w:ind w:firstLine="420" w:firstLineChars="200"/>
        <w:jc w:val="left"/>
        <w:rPr>
          <w:rFonts w:ascii="宋体" w:hAnsi="宋体" w:eastAsia="宋体" w:cs="Times New Roman"/>
          <w:szCs w:val="21"/>
        </w:rPr>
      </w:pPr>
      <w:r>
        <w:rPr>
          <w:rFonts w:hint="eastAsia" w:ascii="宋体" w:hAnsi="宋体" w:eastAsia="宋体" w:cs="Times New Roman"/>
          <w:szCs w:val="21"/>
        </w:rPr>
        <w:t>本次动态报价的加价幅度详见网站披露信息。除对报价底价应价外，各竞买人每次加价不得低于加价幅度。</w:t>
      </w:r>
    </w:p>
    <w:p>
      <w:pPr>
        <w:widowControl/>
        <w:adjustRightInd w:val="0"/>
        <w:snapToGrid w:val="0"/>
        <w:spacing w:line="380" w:lineRule="atLeast"/>
        <w:ind w:firstLine="420" w:firstLineChars="200"/>
        <w:jc w:val="left"/>
        <w:rPr>
          <w:rFonts w:ascii="宋体" w:hAnsi="宋体" w:eastAsia="宋体" w:cs="Times New Roman"/>
          <w:szCs w:val="21"/>
        </w:rPr>
      </w:pPr>
      <w:r>
        <w:rPr>
          <w:rFonts w:ascii="宋体" w:hAnsi="宋体" w:eastAsia="宋体" w:cs="Times New Roman"/>
          <w:szCs w:val="21"/>
        </w:rPr>
        <w:t>3.</w:t>
      </w:r>
      <w:r>
        <w:rPr>
          <w:rFonts w:hint="eastAsia"/>
        </w:rPr>
        <w:t>项目存在优先购买权人的，优先购买权人在满足同等条件的前提下，可在网络竞价过程中按照其他竞买人的报价即时行权。</w:t>
      </w:r>
    </w:p>
    <w:p>
      <w:pPr>
        <w:widowControl/>
        <w:spacing w:line="320" w:lineRule="exact"/>
        <w:ind w:right="-199" w:rightChars="-95" w:firstLine="420" w:firstLineChars="200"/>
        <w:rPr>
          <w:b/>
        </w:rPr>
      </w:pPr>
      <w:r>
        <w:rPr>
          <w:rFonts w:hint="eastAsia" w:ascii="宋体" w:hAnsi="宋体" w:eastAsia="宋体" w:cs="宋体"/>
          <w:kern w:val="0"/>
          <w:szCs w:val="21"/>
        </w:rPr>
        <w:t>十三、</w:t>
      </w:r>
      <w:r>
        <w:rPr>
          <w:rFonts w:hint="eastAsia" w:ascii="宋体" w:hAnsi="宋体" w:eastAsia="宋体" w:cs="Times New Roman"/>
          <w:kern w:val="0"/>
          <w:szCs w:val="21"/>
        </w:rPr>
        <w:t>中心根据交易规则确定受让方后，向受让方出具《挂牌结果通知单》，受让方应在收到《挂牌结果通知单》之日起</w:t>
      </w:r>
      <w:r>
        <w:rPr>
          <w:rFonts w:hint="eastAsia" w:ascii="宋体" w:hAnsi="宋体" w:eastAsia="宋体" w:cs="Times New Roman"/>
          <w:kern w:val="0"/>
          <w:szCs w:val="21"/>
          <w:lang w:val="en-US" w:eastAsia="zh-CN"/>
        </w:rPr>
        <w:t>5</w:t>
      </w:r>
      <w:r>
        <w:rPr>
          <w:rFonts w:hint="eastAsia" w:ascii="宋体" w:hAnsi="宋体" w:eastAsia="宋体" w:cs="Times New Roman"/>
          <w:kern w:val="0"/>
          <w:szCs w:val="21"/>
        </w:rPr>
        <w:t>个工作日内与转让方签署</w:t>
      </w:r>
      <w:r>
        <w:rPr>
          <w:rFonts w:hint="eastAsia"/>
        </w:rPr>
        <w:t>《债权转让协议》</w:t>
      </w:r>
      <w:r>
        <w:rPr>
          <w:rFonts w:hint="eastAsia" w:ascii="宋体" w:hAnsi="宋体" w:eastAsia="宋体" w:cs="Times New Roman"/>
          <w:kern w:val="0"/>
          <w:szCs w:val="21"/>
        </w:rPr>
        <w:t>，并于签订</w:t>
      </w:r>
      <w:r>
        <w:rPr>
          <w:rFonts w:hint="eastAsia"/>
        </w:rPr>
        <w:t>《债权转让协议》</w:t>
      </w:r>
      <w:r>
        <w:rPr>
          <w:rFonts w:hint="eastAsia" w:ascii="宋体" w:hAnsi="宋体" w:eastAsia="宋体" w:cs="Times New Roman"/>
          <w:kern w:val="0"/>
          <w:szCs w:val="21"/>
        </w:rPr>
        <w:t>之日起</w:t>
      </w:r>
      <w:r>
        <w:rPr>
          <w:rFonts w:hint="eastAsia" w:ascii="宋体" w:hAnsi="宋体" w:eastAsia="宋体" w:cs="Times New Roman"/>
          <w:kern w:val="0"/>
          <w:szCs w:val="21"/>
          <w:lang w:val="en-US" w:eastAsia="zh-CN"/>
        </w:rPr>
        <w:t>5</w:t>
      </w:r>
      <w:r>
        <w:rPr>
          <w:rFonts w:hint="eastAsia" w:ascii="宋体" w:hAnsi="宋体" w:eastAsia="宋体" w:cs="Times New Roman"/>
          <w:kern w:val="0"/>
          <w:szCs w:val="21"/>
        </w:rPr>
        <w:t>个工作日内支付应付交易价款及交易费用至中心指定账户（交易价款无息结算），</w:t>
      </w:r>
      <w:r>
        <w:rPr>
          <w:rFonts w:hint="eastAsia"/>
          <w:b/>
        </w:rPr>
        <w:t>如协议成交，按成交金额的</w:t>
      </w:r>
      <w:r>
        <w:rPr>
          <w:rFonts w:hint="eastAsia"/>
          <w:b/>
          <w:lang w:val="en-US" w:eastAsia="zh-CN"/>
        </w:rPr>
        <w:t>1</w:t>
      </w:r>
      <w:r>
        <w:rPr>
          <w:rFonts w:hint="eastAsia"/>
          <w:b/>
        </w:rPr>
        <w:t>‰收取</w:t>
      </w:r>
      <w:r>
        <w:rPr>
          <w:rFonts w:hint="eastAsia"/>
          <w:b/>
          <w:lang w:val="en-US" w:eastAsia="zh-CN"/>
        </w:rPr>
        <w:t>交易费用</w:t>
      </w:r>
      <w:r>
        <w:rPr>
          <w:rFonts w:hint="eastAsia"/>
          <w:b/>
        </w:rPr>
        <w:t>；如竞价成交，挂牌价按</w:t>
      </w:r>
      <w:r>
        <w:rPr>
          <w:rFonts w:hint="eastAsia"/>
          <w:b/>
          <w:lang w:val="en-US" w:eastAsia="zh-CN"/>
        </w:rPr>
        <w:t>1</w:t>
      </w:r>
      <w:r>
        <w:rPr>
          <w:rFonts w:hint="eastAsia"/>
          <w:b/>
        </w:rPr>
        <w:t>‰收取</w:t>
      </w:r>
      <w:r>
        <w:rPr>
          <w:rFonts w:hint="eastAsia"/>
          <w:b/>
          <w:lang w:val="en-US" w:eastAsia="zh-CN"/>
        </w:rPr>
        <w:t>交易费用</w:t>
      </w:r>
      <w:r>
        <w:rPr>
          <w:rFonts w:hint="eastAsia"/>
          <w:b/>
        </w:rPr>
        <w:t>，溢价部分按</w:t>
      </w:r>
      <w:r>
        <w:rPr>
          <w:rFonts w:hint="eastAsia"/>
          <w:b/>
          <w:lang w:val="en-US" w:eastAsia="zh-CN"/>
        </w:rPr>
        <w:t>1</w:t>
      </w:r>
      <w:r>
        <w:rPr>
          <w:rFonts w:hint="eastAsia"/>
          <w:b/>
        </w:rPr>
        <w:t>%收取</w:t>
      </w:r>
      <w:r>
        <w:rPr>
          <w:rFonts w:hint="eastAsia"/>
          <w:b/>
          <w:lang w:val="en-US" w:eastAsia="zh-CN"/>
        </w:rPr>
        <w:t>交易费用</w:t>
      </w:r>
      <w:r>
        <w:rPr>
          <w:rFonts w:hint="eastAsia"/>
          <w:b/>
        </w:rPr>
        <w:t>。</w:t>
      </w:r>
    </w:p>
    <w:p>
      <w:pPr>
        <w:widowControl/>
        <w:spacing w:line="320" w:lineRule="exact"/>
        <w:ind w:right="-199" w:rightChars="-95" w:firstLine="420" w:firstLineChars="200"/>
        <w:rPr>
          <w:rFonts w:asciiTheme="minorEastAsia" w:hAnsiTheme="minorEastAsia"/>
          <w:szCs w:val="21"/>
        </w:rPr>
      </w:pPr>
      <w:r>
        <w:rPr>
          <w:rFonts w:hint="eastAsia" w:asciiTheme="minorEastAsia" w:hAnsiTheme="minorEastAsia"/>
          <w:szCs w:val="21"/>
        </w:rPr>
        <w:t>十四、</w:t>
      </w:r>
      <w:r>
        <w:rPr>
          <w:rFonts w:hint="eastAsia" w:ascii="宋体" w:hAnsi="宋体" w:eastAsia="宋体" w:cs="宋体"/>
          <w:kern w:val="0"/>
          <w:szCs w:val="21"/>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中心有权取消其购买资格、确认报价无效，并扣收其保证金，保留对其追究法律责任的权利。</w:t>
      </w:r>
    </w:p>
    <w:p>
      <w:pPr>
        <w:widowControl/>
        <w:adjustRightInd w:val="0"/>
        <w:snapToGrid w:val="0"/>
        <w:spacing w:line="360" w:lineRule="exact"/>
        <w:ind w:firstLine="420" w:firstLineChars="200"/>
        <w:jc w:val="left"/>
        <w:rPr>
          <w:rFonts w:asciiTheme="minorEastAsia" w:hAnsiTheme="minorEastAsia"/>
          <w:kern w:val="0"/>
          <w:szCs w:val="21"/>
        </w:rPr>
      </w:pPr>
      <w:r>
        <w:rPr>
          <w:rFonts w:hint="eastAsia" w:asciiTheme="minorEastAsia" w:hAnsiTheme="minorEastAsia"/>
          <w:kern w:val="0"/>
          <w:szCs w:val="21"/>
        </w:rPr>
        <w:t>十五、</w:t>
      </w:r>
      <w:r>
        <w:rPr>
          <w:rFonts w:hint="eastAsia" w:cs="宋体" w:asciiTheme="minorEastAsia" w:hAnsiTheme="minorEastAsia"/>
          <w:kern w:val="0"/>
          <w:szCs w:val="21"/>
        </w:rPr>
        <w:t>受让方的保证金转为履约保证金。未购买成功且无违约责任的意向受让方，中心于确定受让方后2个工作日内将其保证金无息退还。</w:t>
      </w:r>
    </w:p>
    <w:p>
      <w:pPr>
        <w:widowControl/>
        <w:adjustRightInd w:val="0"/>
        <w:snapToGrid w:val="0"/>
        <w:spacing w:line="360" w:lineRule="exact"/>
        <w:ind w:firstLine="420" w:firstLineChars="200"/>
        <w:jc w:val="left"/>
        <w:rPr>
          <w:rFonts w:cs="宋体" w:asciiTheme="minorEastAsia" w:hAnsiTheme="minorEastAsia"/>
          <w:kern w:val="0"/>
          <w:szCs w:val="21"/>
        </w:rPr>
      </w:pPr>
      <w:r>
        <w:rPr>
          <w:rFonts w:hint="eastAsia" w:cs="宋体" w:asciiTheme="minorEastAsia" w:hAnsiTheme="minorEastAsia"/>
          <w:kern w:val="0"/>
          <w:szCs w:val="21"/>
        </w:rPr>
        <w:t>十六、受让方未按时支付交易价款及交易费用的，构成违约。中心有权扣收其保证金，违约方须向中心交纳本次网络竞价中受让方及转让方应支付的交易费用。中心有权再次组织本项目的交易活动，再次成交的成交价如低于本次成交价，则差额部分由违约方补足。违约方的保证金不足以弥补上述费用的，中心、转让方有权向违约方进行追索。</w:t>
      </w:r>
    </w:p>
    <w:p>
      <w:pPr>
        <w:widowControl/>
        <w:adjustRightInd w:val="0"/>
        <w:snapToGrid w:val="0"/>
        <w:spacing w:line="360" w:lineRule="exact"/>
        <w:ind w:firstLine="420" w:firstLineChars="200"/>
        <w:jc w:val="left"/>
        <w:rPr>
          <w:rFonts w:cs="宋体" w:asciiTheme="minorEastAsia" w:hAnsiTheme="minorEastAsia"/>
          <w:kern w:val="0"/>
          <w:szCs w:val="21"/>
        </w:rPr>
      </w:pPr>
      <w:r>
        <w:rPr>
          <w:rFonts w:hint="eastAsia" w:cs="宋体" w:asciiTheme="minorEastAsia" w:hAnsiTheme="minorEastAsia"/>
          <w:kern w:val="0"/>
          <w:szCs w:val="21"/>
        </w:rPr>
        <w:t>本次资产转让有关的变更手续办理完毕后，受让方应在3个工作日内通知中心将交易价款无息划转给转让方。如受让方自本次资产转让有关的变更手续办理完毕之日起10个工作日未通知中心将交易价款无息划转给转让方，且未向中心提交书面异议并就</w:t>
      </w:r>
      <w:r>
        <w:rPr>
          <w:rFonts w:hint="eastAsia"/>
        </w:rPr>
        <w:t>《债权转让协议》</w:t>
      </w:r>
      <w:r>
        <w:rPr>
          <w:rFonts w:hint="eastAsia" w:cs="宋体" w:asciiTheme="minorEastAsia" w:hAnsiTheme="minorEastAsia"/>
          <w:kern w:val="0"/>
          <w:szCs w:val="21"/>
        </w:rPr>
        <w:t>的履行提交诉讼、仲裁的，中心有权自行将交易价款无息划转给转让方。</w:t>
      </w:r>
    </w:p>
    <w:p>
      <w:pPr>
        <w:widowControl/>
        <w:adjustRightInd w:val="0"/>
        <w:snapToGrid w:val="0"/>
        <w:spacing w:line="360" w:lineRule="exact"/>
        <w:ind w:firstLine="420" w:firstLineChars="200"/>
        <w:jc w:val="left"/>
        <w:rPr>
          <w:rFonts w:cs="宋体" w:asciiTheme="minorEastAsia" w:hAnsiTheme="minorEastAsia"/>
          <w:kern w:val="0"/>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firstLine="420" w:firstLineChars="200"/>
        <w:jc w:val="left"/>
        <w:rPr>
          <w:rFonts w:asciiTheme="minorEastAsia" w:hAnsiTheme="minorEastAsia"/>
          <w:kern w:val="0"/>
          <w:szCs w:val="21"/>
        </w:rPr>
      </w:pPr>
      <w:r>
        <w:rPr>
          <w:rFonts w:hint="eastAsia" w:cs="宋体" w:asciiTheme="minorEastAsia" w:hAnsiTheme="minorEastAsia"/>
          <w:kern w:val="0"/>
          <w:szCs w:val="21"/>
        </w:rPr>
        <w:t>十八、因意向受让方如下行为产生的一切后果，中心不承担任何责任：</w:t>
      </w:r>
    </w:p>
    <w:p>
      <w:pPr>
        <w:widowControl/>
        <w:adjustRightInd w:val="0"/>
        <w:snapToGrid w:val="0"/>
        <w:spacing w:line="360" w:lineRule="exact"/>
        <w:ind w:firstLine="420" w:firstLineChars="200"/>
        <w:jc w:val="left"/>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、未及时关注中心及竞价系统发布的网络竞价活动相关信息的；</w:t>
      </w:r>
    </w:p>
    <w:p>
      <w:pPr>
        <w:widowControl/>
        <w:adjustRightInd w:val="0"/>
        <w:snapToGrid w:val="0"/>
        <w:spacing w:line="360" w:lineRule="exact"/>
        <w:ind w:firstLine="420" w:firstLineChars="200"/>
        <w:jc w:val="left"/>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pPr>
        <w:widowControl/>
        <w:adjustRightInd w:val="0"/>
        <w:snapToGrid w:val="0"/>
        <w:spacing w:line="360" w:lineRule="exact"/>
        <w:ind w:firstLine="420" w:firstLineChars="200"/>
        <w:jc w:val="left"/>
        <w:rPr>
          <w:rFonts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pPr>
        <w:widowControl/>
        <w:adjustRightInd w:val="0"/>
        <w:snapToGrid w:val="0"/>
        <w:spacing w:line="360" w:lineRule="exact"/>
        <w:ind w:firstLine="420" w:firstLineChars="200"/>
        <w:jc w:val="left"/>
        <w:rPr>
          <w:rFonts w:asciiTheme="minorEastAsia" w:hAnsiTheme="minorEastAsia"/>
          <w:kern w:val="0"/>
          <w:szCs w:val="21"/>
        </w:rPr>
      </w:pPr>
      <w:r>
        <w:rPr>
          <w:rFonts w:hint="eastAsia" w:cs="宋体" w:asciiTheme="minorEastAsia" w:hAnsiTheme="minorEastAsia"/>
          <w:kern w:val="0"/>
          <w:szCs w:val="21"/>
        </w:rPr>
        <w:t>十九、竞价系统因不可抗力、软硬件故障、非法入侵、恶意攻击等原因而导致系统异常、竞价活动中断的，中心不承担任何责任。中心将视情况组织继续报价或重新报价，并通过中心网站通知各意向受让方。继续报价或重新报价的方式如下：</w:t>
      </w:r>
    </w:p>
    <w:p>
      <w:pPr>
        <w:widowControl/>
        <w:adjustRightInd w:val="0"/>
        <w:snapToGrid w:val="0"/>
        <w:spacing w:line="360" w:lineRule="exact"/>
        <w:ind w:firstLine="420" w:firstLineChars="200"/>
        <w:jc w:val="left"/>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pPr>
        <w:widowControl/>
        <w:adjustRightInd w:val="0"/>
        <w:snapToGrid w:val="0"/>
        <w:spacing w:line="360" w:lineRule="exact"/>
        <w:ind w:firstLine="420" w:firstLineChars="200"/>
        <w:jc w:val="left"/>
        <w:rPr>
          <w:rFonts w:asciiTheme="minorEastAsia" w:hAnsiTheme="minorEastAsia"/>
          <w:kern w:val="0"/>
          <w:szCs w:val="21"/>
        </w:rPr>
      </w:pPr>
      <w:r>
        <w:rPr>
          <w:rFonts w:hint="eastAsia" w:cs="宋体" w:asciiTheme="minorEastAsia" w:hAnsiTheme="minorEastAsia"/>
          <w:kern w:val="0"/>
          <w:szCs w:val="21"/>
        </w:rPr>
        <w:t>二十、</w:t>
      </w:r>
      <w:r>
        <w:rPr>
          <w:rFonts w:hint="eastAsia" w:ascii="宋体" w:hAnsi="宋体" w:eastAsia="宋体" w:cs="宋体"/>
          <w:kern w:val="0"/>
          <w:szCs w:val="21"/>
        </w:rPr>
        <w:t>意向受让方须同意，如违反本项目《须知》的，中心有权取消其竞买资格，并同意中心根据《产权保证金操作细则》及本项目《须知》扣收其交纳的保证金。</w:t>
      </w:r>
    </w:p>
    <w:p>
      <w:pPr>
        <w:widowControl/>
        <w:adjustRightInd w:val="0"/>
        <w:snapToGrid w:val="0"/>
        <w:spacing w:line="360" w:lineRule="exact"/>
        <w:ind w:firstLine="420" w:firstLineChars="200"/>
        <w:jc w:val="left"/>
        <w:rPr>
          <w:rFonts w:ascii="宋体" w:hAnsi="宋体" w:eastAsia="宋体" w:cs="宋体"/>
          <w:kern w:val="0"/>
          <w:szCs w:val="21"/>
        </w:rPr>
      </w:pPr>
      <w:r>
        <w:rPr>
          <w:rFonts w:hint="eastAsia" w:cs="宋体" w:asciiTheme="minorEastAsia" w:hAnsiTheme="minorEastAsia"/>
          <w:kern w:val="0"/>
          <w:szCs w:val="21"/>
        </w:rPr>
        <w:t>二十一、</w:t>
      </w:r>
      <w:r>
        <w:rPr>
          <w:rFonts w:hint="eastAsia" w:ascii="宋体" w:hAnsi="宋体" w:eastAsia="宋体" w:cs="宋体"/>
          <w:kern w:val="0"/>
          <w:szCs w:val="21"/>
        </w:rPr>
        <w:t>意向受让方须同意，被确定为受让方后不能在规定时间内付清交易价款及交易费用、按要求完成项目移交的，承诺承担以下责任：</w:t>
      </w:r>
    </w:p>
    <w:p>
      <w:pPr>
        <w:widowControl/>
        <w:adjustRightInd w:val="0"/>
        <w:snapToGrid w:val="0"/>
        <w:spacing w:line="360" w:lineRule="exact"/>
        <w:ind w:firstLine="420" w:firstLineChars="200"/>
        <w:jc w:val="left"/>
        <w:rPr>
          <w:rFonts w:ascii="宋体" w:hAnsi="宋体" w:eastAsia="宋体" w:cs="宋体"/>
          <w:kern w:val="0"/>
          <w:szCs w:val="21"/>
        </w:rPr>
      </w:pPr>
      <w:r>
        <w:rPr>
          <w:rFonts w:hint="eastAsia" w:ascii="宋体" w:hAnsi="宋体" w:eastAsia="宋体" w:cs="宋体"/>
          <w:kern w:val="0"/>
          <w:szCs w:val="21"/>
        </w:rPr>
        <w:t>1、未能付清全部交易价款及交易费用的，构成违约，同意按照挂牌价格的10%向中心支付违约金</w:t>
      </w:r>
      <w:r>
        <w:rPr>
          <w:rFonts w:hint="eastAsia" w:cs="宋体" w:asciiTheme="minorEastAsia" w:hAnsiTheme="minorEastAsia"/>
          <w:kern w:val="0"/>
          <w:szCs w:val="21"/>
        </w:rPr>
        <w:t>（用于赔偿债权转让方的损失），并赔偿利益受损方的损失</w:t>
      </w:r>
      <w:r>
        <w:rPr>
          <w:rFonts w:hint="eastAsia" w:ascii="宋体" w:hAnsi="宋体" w:eastAsia="宋体" w:cs="宋体"/>
          <w:kern w:val="0"/>
          <w:szCs w:val="21"/>
        </w:rPr>
        <w:t>；转让方和中心有权再次组织本项目的交易活动，再次成交的成交价如低于本次成交价，则差额部分由受让方补足，并承担相关费用；同时承担本次交易活动受让方及转让方的全部交易费用。若保证金不足以弥补上述费用的，转让方和中心有权向受让方进行追索；</w:t>
      </w:r>
    </w:p>
    <w:p>
      <w:pPr>
        <w:widowControl/>
        <w:adjustRightInd w:val="0"/>
        <w:snapToGrid w:val="0"/>
        <w:spacing w:line="360" w:lineRule="exact"/>
        <w:ind w:firstLine="420" w:firstLineChars="200"/>
        <w:jc w:val="left"/>
        <w:rPr>
          <w:rFonts w:ascii="宋体" w:hAnsi="宋体" w:eastAsia="宋体" w:cs="宋体"/>
          <w:kern w:val="0"/>
          <w:szCs w:val="21"/>
        </w:rPr>
      </w:pPr>
      <w:r>
        <w:rPr>
          <w:rFonts w:hint="eastAsia" w:ascii="宋体" w:hAnsi="宋体" w:eastAsia="宋体" w:cs="宋体"/>
          <w:kern w:val="0"/>
          <w:szCs w:val="21"/>
        </w:rPr>
        <w:t>2、未按要求完成项目交割的，转让方不再承担相应保管责任，标的的毁损灭失风险由受让方承担。在标的移交过程中所发生的包括但不限于运输、拆解、保管、处理等一切费用均由受让方自行承担，并同意从受让方已交纳的保证金中扣除。移交过程中如造成标的存储地点的硬件设施及标的本身的损毁由受让方承担责任。</w:t>
      </w:r>
    </w:p>
    <w:p>
      <w:pPr>
        <w:widowControl/>
        <w:adjustRightInd w:val="0"/>
        <w:snapToGrid w:val="0"/>
        <w:spacing w:line="360" w:lineRule="exact"/>
        <w:ind w:firstLine="420" w:firstLineChars="200"/>
        <w:jc w:val="left"/>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中心或意向受让方任何一方发出要求协商解决的通知7日内，双方未能达成解决方案，则该问题、争议或分歧应由济南仲裁委员会仲裁。在仲裁过程中，除有争议正在进行仲裁或诉讼的部分外，本须知其他部分应继续履行。</w:t>
      </w:r>
    </w:p>
    <w:p>
      <w:pPr>
        <w:widowControl/>
        <w:adjustRightInd w:val="0"/>
        <w:snapToGrid w:val="0"/>
        <w:spacing w:line="360" w:lineRule="exact"/>
        <w:ind w:firstLine="420" w:firstLineChars="200"/>
        <w:jc w:val="left"/>
        <w:rPr>
          <w:rFonts w:asciiTheme="minorEastAsia" w:hAnsiTheme="minorEastAsia"/>
          <w:kern w:val="0"/>
          <w:szCs w:val="21"/>
        </w:rPr>
      </w:pPr>
    </w:p>
    <w:p>
      <w:pPr>
        <w:widowControl/>
        <w:adjustRightInd w:val="0"/>
        <w:snapToGrid w:val="0"/>
        <w:spacing w:line="360" w:lineRule="exact"/>
        <w:ind w:right="-199" w:rightChars="-95" w:firstLine="163" w:firstLineChars="78"/>
        <w:jc w:val="left"/>
        <w:rPr>
          <w:rFonts w:cs="Times New Roman" w:asciiTheme="minorEastAsia" w:hAnsiTheme="minorEastAsia"/>
          <w:kern w:val="0"/>
          <w:szCs w:val="21"/>
        </w:rPr>
      </w:pPr>
    </w:p>
    <w:p>
      <w:pPr>
        <w:widowControl/>
        <w:snapToGrid w:val="0"/>
        <w:spacing w:line="360" w:lineRule="exact"/>
        <w:ind w:right="-199" w:rightChars="-95" w:firstLine="163" w:firstLineChars="78"/>
        <w:jc w:val="left"/>
        <w:rPr>
          <w:rFonts w:cs="宋体" w:asciiTheme="minorEastAsia" w:hAnsiTheme="minorEastAsia"/>
          <w:kern w:val="0"/>
          <w:szCs w:val="21"/>
        </w:rPr>
      </w:pPr>
      <w:r>
        <w:rPr>
          <w:rFonts w:hint="eastAsia" w:cs="宋体" w:asciiTheme="minorEastAsia" w:hAnsiTheme="minorEastAsia"/>
          <w:kern w:val="0"/>
          <w:szCs w:val="21"/>
        </w:rPr>
        <w:t>山东产权交易中心</w:t>
      </w:r>
    </w:p>
    <w:p>
      <w:pPr>
        <w:widowControl/>
        <w:snapToGrid w:val="0"/>
        <w:spacing w:line="360" w:lineRule="exact"/>
        <w:ind w:right="-199" w:rightChars="-95" w:firstLine="163" w:firstLineChars="78"/>
        <w:jc w:val="left"/>
        <w:rPr>
          <w:rFonts w:cs="宋体" w:asciiTheme="minorEastAsia" w:hAnsiTheme="minorEastAsia"/>
          <w:kern w:val="0"/>
          <w:szCs w:val="21"/>
        </w:rPr>
      </w:pPr>
    </w:p>
    <w:p>
      <w:pPr>
        <w:widowControl/>
        <w:snapToGrid w:val="0"/>
        <w:spacing w:line="360" w:lineRule="exact"/>
        <w:ind w:right="-199" w:rightChars="-95" w:firstLine="163" w:firstLineChars="78"/>
        <w:jc w:val="left"/>
        <w:rPr>
          <w:rFonts w:cs="宋体" w:asciiTheme="minorEastAsia" w:hAnsiTheme="minorEastAsia"/>
          <w:kern w:val="0"/>
          <w:szCs w:val="21"/>
        </w:rPr>
      </w:pPr>
    </w:p>
    <w:p>
      <w:pPr>
        <w:widowControl/>
        <w:snapToGrid w:val="0"/>
        <w:spacing w:line="360" w:lineRule="exact"/>
        <w:ind w:right="-199" w:rightChars="-95" w:firstLine="163" w:firstLineChars="78"/>
        <w:jc w:val="left"/>
        <w:rPr>
          <w:rFonts w:cs="宋体" w:asciiTheme="minorEastAsia" w:hAnsiTheme="minorEastAsia"/>
          <w:kern w:val="0"/>
          <w:szCs w:val="21"/>
        </w:rPr>
      </w:pPr>
    </w:p>
    <w:p>
      <w:pPr>
        <w:widowControl/>
        <w:snapToGrid w:val="0"/>
        <w:spacing w:line="360" w:lineRule="exact"/>
        <w:ind w:right="-199" w:rightChars="-95" w:firstLine="163" w:firstLineChars="78"/>
        <w:jc w:val="left"/>
        <w:rPr>
          <w:rFonts w:cs="宋体" w:asciiTheme="minorEastAsia" w:hAnsiTheme="minorEastAsia"/>
          <w:kern w:val="0"/>
          <w:szCs w:val="21"/>
        </w:rPr>
      </w:pPr>
    </w:p>
    <w:p>
      <w:pPr>
        <w:widowControl/>
        <w:snapToGrid w:val="0"/>
        <w:spacing w:line="360" w:lineRule="exact"/>
        <w:ind w:right="-199" w:rightChars="-95" w:firstLine="163" w:firstLineChars="78"/>
        <w:jc w:val="left"/>
        <w:rPr>
          <w:rFonts w:cs="宋体" w:asciiTheme="minorEastAsia" w:hAnsiTheme="minorEastAsia"/>
          <w:kern w:val="0"/>
          <w:szCs w:val="21"/>
        </w:rPr>
      </w:pPr>
    </w:p>
    <w:p>
      <w:pPr>
        <w:widowControl/>
        <w:snapToGrid w:val="0"/>
        <w:spacing w:line="360" w:lineRule="exact"/>
        <w:ind w:right="-199" w:rightChars="-95" w:firstLine="163" w:firstLineChars="78"/>
        <w:jc w:val="left"/>
        <w:rPr>
          <w:rFonts w:cs="宋体" w:asciiTheme="minorEastAsia" w:hAnsiTheme="minorEastAsia"/>
          <w:kern w:val="0"/>
          <w:szCs w:val="21"/>
        </w:rPr>
      </w:pPr>
    </w:p>
    <w:p>
      <w:pPr>
        <w:widowControl/>
        <w:snapToGrid w:val="0"/>
        <w:spacing w:line="360" w:lineRule="exact"/>
        <w:ind w:right="-199" w:rightChars="-95" w:firstLine="163" w:firstLineChars="78"/>
        <w:jc w:val="left"/>
        <w:rPr>
          <w:rFonts w:cs="宋体" w:asciiTheme="minorEastAsia" w:hAnsiTheme="minorEastAsia"/>
          <w:kern w:val="0"/>
          <w:szCs w:val="21"/>
        </w:rPr>
      </w:pPr>
    </w:p>
    <w:p>
      <w:pPr>
        <w:widowControl/>
        <w:snapToGrid w:val="0"/>
        <w:spacing w:line="360" w:lineRule="exact"/>
        <w:ind w:right="-199" w:rightChars="-95" w:firstLine="163" w:firstLineChars="78"/>
        <w:jc w:val="left"/>
        <w:rPr>
          <w:rFonts w:cs="宋体" w:asciiTheme="minorEastAsia" w:hAnsiTheme="minorEastAsia"/>
          <w:kern w:val="0"/>
          <w:szCs w:val="21"/>
        </w:rPr>
      </w:pPr>
    </w:p>
    <w:p>
      <w:pPr>
        <w:widowControl/>
        <w:snapToGrid w:val="0"/>
        <w:spacing w:line="360" w:lineRule="exact"/>
        <w:ind w:right="-199" w:rightChars="-95" w:firstLine="163" w:firstLineChars="78"/>
        <w:jc w:val="left"/>
        <w:rPr>
          <w:rFonts w:cs="宋体" w:asciiTheme="minorEastAsia" w:hAnsiTheme="minorEastAsia"/>
          <w:kern w:val="0"/>
          <w:szCs w:val="21"/>
        </w:rPr>
      </w:pPr>
    </w:p>
    <w:p>
      <w:pPr>
        <w:widowControl/>
        <w:snapToGrid w:val="0"/>
        <w:spacing w:line="360" w:lineRule="exact"/>
        <w:ind w:right="-199" w:rightChars="-95" w:firstLine="163" w:firstLineChars="78"/>
        <w:jc w:val="left"/>
        <w:rPr>
          <w:rFonts w:cs="宋体" w:asciiTheme="minorEastAsia" w:hAnsiTheme="minorEastAsia"/>
          <w:kern w:val="0"/>
          <w:szCs w:val="21"/>
        </w:rPr>
      </w:pPr>
    </w:p>
    <w:p>
      <w:pPr>
        <w:widowControl/>
        <w:snapToGrid w:val="0"/>
        <w:spacing w:line="360" w:lineRule="exact"/>
        <w:ind w:right="-199" w:rightChars="-95" w:firstLine="163" w:firstLineChars="78"/>
        <w:jc w:val="left"/>
        <w:rPr>
          <w:rFonts w:cs="宋体" w:asciiTheme="minorEastAsia" w:hAnsiTheme="minorEastAsia"/>
          <w:kern w:val="0"/>
          <w:szCs w:val="21"/>
        </w:rPr>
      </w:pPr>
    </w:p>
    <w:p>
      <w:pPr>
        <w:widowControl/>
        <w:snapToGrid w:val="0"/>
        <w:spacing w:line="360" w:lineRule="exact"/>
        <w:ind w:right="-199" w:rightChars="-95" w:firstLine="163" w:firstLineChars="78"/>
        <w:jc w:val="left"/>
        <w:rPr>
          <w:rFonts w:cs="宋体" w:asciiTheme="minorEastAsia" w:hAnsiTheme="minorEastAsia"/>
          <w:kern w:val="0"/>
          <w:szCs w:val="21"/>
        </w:rPr>
      </w:pPr>
    </w:p>
    <w:p>
      <w:pPr>
        <w:widowControl/>
        <w:snapToGrid w:val="0"/>
        <w:spacing w:line="360" w:lineRule="exact"/>
        <w:ind w:right="-199" w:rightChars="-95" w:firstLine="163" w:firstLineChars="78"/>
        <w:jc w:val="left"/>
        <w:rPr>
          <w:rFonts w:cs="宋体" w:asciiTheme="minorEastAsia" w:hAnsiTheme="minorEastAsia"/>
          <w:kern w:val="0"/>
          <w:szCs w:val="21"/>
        </w:rPr>
      </w:pPr>
    </w:p>
    <w:p>
      <w:pPr>
        <w:widowControl/>
        <w:snapToGrid w:val="0"/>
        <w:spacing w:line="360" w:lineRule="exact"/>
        <w:ind w:right="-199" w:rightChars="-95" w:firstLine="163" w:firstLineChars="78"/>
        <w:jc w:val="left"/>
        <w:rPr>
          <w:rFonts w:cs="宋体" w:asciiTheme="minorEastAsia" w:hAnsiTheme="minorEastAsia"/>
          <w:kern w:val="0"/>
          <w:szCs w:val="21"/>
        </w:rPr>
      </w:pPr>
    </w:p>
    <w:p>
      <w:pPr>
        <w:widowControl/>
        <w:snapToGrid w:val="0"/>
        <w:spacing w:line="360" w:lineRule="exact"/>
        <w:ind w:right="-199" w:rightChars="-95" w:firstLine="163" w:firstLineChars="78"/>
        <w:jc w:val="left"/>
        <w:rPr>
          <w:rFonts w:cs="宋体" w:asciiTheme="minorEastAsia" w:hAnsiTheme="minorEastAsia"/>
          <w:kern w:val="0"/>
          <w:szCs w:val="21"/>
        </w:rPr>
      </w:pPr>
    </w:p>
    <w:p>
      <w:pPr>
        <w:widowControl/>
        <w:snapToGrid w:val="0"/>
        <w:spacing w:line="360" w:lineRule="exact"/>
        <w:ind w:right="-199" w:rightChars="-95" w:firstLine="163" w:firstLineChars="78"/>
        <w:jc w:val="left"/>
        <w:rPr>
          <w:rFonts w:cs="宋体" w:asciiTheme="minorEastAsia" w:hAnsiTheme="minorEastAsia"/>
          <w:kern w:val="0"/>
          <w:szCs w:val="21"/>
        </w:rPr>
      </w:pPr>
    </w:p>
    <w:p>
      <w:pPr>
        <w:widowControl/>
        <w:snapToGrid w:val="0"/>
        <w:spacing w:line="360" w:lineRule="exact"/>
        <w:ind w:right="-199" w:rightChars="-95" w:firstLine="163" w:firstLineChars="78"/>
        <w:jc w:val="left"/>
        <w:rPr>
          <w:rFonts w:cs="宋体" w:asciiTheme="minorEastAsia" w:hAnsiTheme="minorEastAsia"/>
          <w:kern w:val="0"/>
          <w:szCs w:val="21"/>
        </w:rPr>
      </w:pPr>
    </w:p>
    <w:p>
      <w:pPr>
        <w:widowControl/>
        <w:snapToGrid w:val="0"/>
        <w:spacing w:line="360" w:lineRule="exact"/>
        <w:ind w:right="-199" w:rightChars="-95" w:firstLine="163" w:firstLineChars="78"/>
        <w:jc w:val="left"/>
        <w:rPr>
          <w:rFonts w:cs="宋体" w:asciiTheme="minorEastAsia" w:hAnsiTheme="minorEastAsia"/>
          <w:kern w:val="0"/>
          <w:szCs w:val="21"/>
        </w:rPr>
      </w:pPr>
    </w:p>
    <w:p>
      <w:pPr>
        <w:widowControl/>
        <w:snapToGrid w:val="0"/>
        <w:spacing w:line="360" w:lineRule="exact"/>
        <w:ind w:right="-199" w:rightChars="-95" w:firstLine="163" w:firstLineChars="78"/>
        <w:jc w:val="left"/>
        <w:rPr>
          <w:rFonts w:cs="宋体" w:asciiTheme="minorEastAsia" w:hAnsiTheme="minorEastAsia"/>
          <w:kern w:val="0"/>
          <w:szCs w:val="21"/>
        </w:rPr>
      </w:pPr>
    </w:p>
    <w:p>
      <w:pPr>
        <w:widowControl/>
        <w:snapToGrid w:val="0"/>
        <w:spacing w:line="360" w:lineRule="exact"/>
        <w:ind w:right="-199" w:rightChars="-95"/>
        <w:jc w:val="left"/>
        <w:rPr>
          <w:rFonts w:ascii="方正小标宋简体" w:eastAsia="方正小标宋简体" w:cs="微软简标宋"/>
          <w:bCs/>
          <w:sz w:val="36"/>
          <w:szCs w:val="36"/>
        </w:rPr>
      </w:pPr>
    </w:p>
    <w:sectPr>
      <w:pgSz w:w="11906" w:h="16838"/>
      <w:pgMar w:top="567" w:right="907" w:bottom="567" w:left="90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1" w:fontKey="{B12E7624-D6BC-43BB-BF71-18BCBA4A7CB8}"/>
  </w:font>
  <w:font w:name="楷体_GB2312">
    <w:altName w:val="楷体"/>
    <w:panose1 w:val="00000000000000000000"/>
    <w:charset w:val="86"/>
    <w:family w:val="modern"/>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embedRegular r:id="rId2" w:fontKey="{7C926AF8-62BC-43A7-A205-C08635062CF2}"/>
  </w:font>
  <w:font w:name="Helvetica">
    <w:altName w:val="Arial"/>
    <w:panose1 w:val="00000000000000000000"/>
    <w:charset w:val="00"/>
    <w:family w:val="auto"/>
    <w:pitch w:val="default"/>
    <w:sig w:usb0="00000000" w:usb1="00000000" w:usb2="00000000" w:usb3="00000000" w:csb0="00000000" w:csb1="00000000"/>
    <w:embedRegular r:id="rId3" w:fontKey="{1E41F443-ED09-4C6E-9EEB-145DF5742F04}"/>
  </w:font>
  <w:font w:name="仿宋_GB2312">
    <w:altName w:val="仿宋"/>
    <w:panose1 w:val="00000000000000000000"/>
    <w:charset w:val="86"/>
    <w:family w:val="modern"/>
    <w:pitch w:val="default"/>
    <w:sig w:usb0="00000000" w:usb1="00000000" w:usb2="00000000" w:usb3="00000000" w:csb0="00040000" w:csb1="00000000"/>
    <w:embedRegular r:id="rId4" w:fontKey="{124D8C6B-504A-413E-8AC7-F238FF539B54}"/>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8222A5"/>
    <w:multiLevelType w:val="singleLevel"/>
    <w:tmpl w:val="8F8222A5"/>
    <w:lvl w:ilvl="0" w:tentative="0">
      <w:start w:val="1"/>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2ZTZjZWIzMTI4ZTAyNWVkYmY4MjAzOWFlODIwMDAifQ=="/>
  </w:docVars>
  <w:rsids>
    <w:rsidRoot w:val="00B85B4E"/>
    <w:rsid w:val="00005A05"/>
    <w:rsid w:val="00007F65"/>
    <w:rsid w:val="00013C07"/>
    <w:rsid w:val="00016C06"/>
    <w:rsid w:val="00020CAD"/>
    <w:rsid w:val="00026039"/>
    <w:rsid w:val="000300BB"/>
    <w:rsid w:val="00041697"/>
    <w:rsid w:val="00041775"/>
    <w:rsid w:val="0004380D"/>
    <w:rsid w:val="0004523C"/>
    <w:rsid w:val="0004631A"/>
    <w:rsid w:val="00053336"/>
    <w:rsid w:val="000604D8"/>
    <w:rsid w:val="00064F4B"/>
    <w:rsid w:val="00074179"/>
    <w:rsid w:val="000874E6"/>
    <w:rsid w:val="000913C5"/>
    <w:rsid w:val="00095D29"/>
    <w:rsid w:val="000974E1"/>
    <w:rsid w:val="000A2BBF"/>
    <w:rsid w:val="000A6A9D"/>
    <w:rsid w:val="000B4982"/>
    <w:rsid w:val="000D0633"/>
    <w:rsid w:val="000D4032"/>
    <w:rsid w:val="000E2F9E"/>
    <w:rsid w:val="00114908"/>
    <w:rsid w:val="00115F50"/>
    <w:rsid w:val="00116CA2"/>
    <w:rsid w:val="001215A0"/>
    <w:rsid w:val="00121BE2"/>
    <w:rsid w:val="0013131D"/>
    <w:rsid w:val="00144F2B"/>
    <w:rsid w:val="00160E3E"/>
    <w:rsid w:val="0016259F"/>
    <w:rsid w:val="0017625F"/>
    <w:rsid w:val="00176403"/>
    <w:rsid w:val="00182813"/>
    <w:rsid w:val="0018460C"/>
    <w:rsid w:val="00186AFE"/>
    <w:rsid w:val="00194494"/>
    <w:rsid w:val="00195ABC"/>
    <w:rsid w:val="001B0F08"/>
    <w:rsid w:val="001B5516"/>
    <w:rsid w:val="001C21FD"/>
    <w:rsid w:val="001C420E"/>
    <w:rsid w:val="001D033B"/>
    <w:rsid w:val="001D3D7D"/>
    <w:rsid w:val="001D4194"/>
    <w:rsid w:val="001E4BEB"/>
    <w:rsid w:val="00210B8E"/>
    <w:rsid w:val="002137B5"/>
    <w:rsid w:val="00220A8B"/>
    <w:rsid w:val="002259EE"/>
    <w:rsid w:val="0025137C"/>
    <w:rsid w:val="00256E20"/>
    <w:rsid w:val="00257BC5"/>
    <w:rsid w:val="0027141C"/>
    <w:rsid w:val="0028794E"/>
    <w:rsid w:val="002A023F"/>
    <w:rsid w:val="002A2EC6"/>
    <w:rsid w:val="002A34E4"/>
    <w:rsid w:val="002D2337"/>
    <w:rsid w:val="002D5495"/>
    <w:rsid w:val="002E2C33"/>
    <w:rsid w:val="003027F6"/>
    <w:rsid w:val="003059F7"/>
    <w:rsid w:val="00305EC7"/>
    <w:rsid w:val="003233B0"/>
    <w:rsid w:val="00324220"/>
    <w:rsid w:val="00324688"/>
    <w:rsid w:val="00330059"/>
    <w:rsid w:val="00361EAC"/>
    <w:rsid w:val="00370062"/>
    <w:rsid w:val="003842F1"/>
    <w:rsid w:val="00391635"/>
    <w:rsid w:val="003966BB"/>
    <w:rsid w:val="003B2722"/>
    <w:rsid w:val="003B5B83"/>
    <w:rsid w:val="003C7EB9"/>
    <w:rsid w:val="003D43EB"/>
    <w:rsid w:val="003D6656"/>
    <w:rsid w:val="003E66B0"/>
    <w:rsid w:val="0040147B"/>
    <w:rsid w:val="00410A44"/>
    <w:rsid w:val="0041263D"/>
    <w:rsid w:val="0041456E"/>
    <w:rsid w:val="0041701F"/>
    <w:rsid w:val="004214D3"/>
    <w:rsid w:val="004240D3"/>
    <w:rsid w:val="0042432C"/>
    <w:rsid w:val="004270A0"/>
    <w:rsid w:val="00431C57"/>
    <w:rsid w:val="004448BC"/>
    <w:rsid w:val="0044645D"/>
    <w:rsid w:val="0044779F"/>
    <w:rsid w:val="00471F89"/>
    <w:rsid w:val="00475266"/>
    <w:rsid w:val="00484455"/>
    <w:rsid w:val="0049433B"/>
    <w:rsid w:val="004A6E27"/>
    <w:rsid w:val="004B264E"/>
    <w:rsid w:val="004B7DBA"/>
    <w:rsid w:val="004C5D2A"/>
    <w:rsid w:val="004C6053"/>
    <w:rsid w:val="004C7B21"/>
    <w:rsid w:val="004D7CE7"/>
    <w:rsid w:val="004F75BF"/>
    <w:rsid w:val="005013E3"/>
    <w:rsid w:val="0050242A"/>
    <w:rsid w:val="0050630E"/>
    <w:rsid w:val="005111C9"/>
    <w:rsid w:val="005112A2"/>
    <w:rsid w:val="00513AB8"/>
    <w:rsid w:val="00521E1A"/>
    <w:rsid w:val="00527DEF"/>
    <w:rsid w:val="0054711A"/>
    <w:rsid w:val="00551B8D"/>
    <w:rsid w:val="00552074"/>
    <w:rsid w:val="005551DC"/>
    <w:rsid w:val="0055692C"/>
    <w:rsid w:val="00583455"/>
    <w:rsid w:val="0059210B"/>
    <w:rsid w:val="00597822"/>
    <w:rsid w:val="005A333D"/>
    <w:rsid w:val="005C62C3"/>
    <w:rsid w:val="005D1C97"/>
    <w:rsid w:val="005E779E"/>
    <w:rsid w:val="005F7A1A"/>
    <w:rsid w:val="00602909"/>
    <w:rsid w:val="0060793D"/>
    <w:rsid w:val="00610222"/>
    <w:rsid w:val="006145D5"/>
    <w:rsid w:val="006225CF"/>
    <w:rsid w:val="0062277F"/>
    <w:rsid w:val="006639F7"/>
    <w:rsid w:val="00690BC1"/>
    <w:rsid w:val="006911ED"/>
    <w:rsid w:val="006A119D"/>
    <w:rsid w:val="006C5DBC"/>
    <w:rsid w:val="006E678A"/>
    <w:rsid w:val="006F34B6"/>
    <w:rsid w:val="007201E1"/>
    <w:rsid w:val="00722F5F"/>
    <w:rsid w:val="0072322D"/>
    <w:rsid w:val="007233C2"/>
    <w:rsid w:val="00725B8B"/>
    <w:rsid w:val="007408E2"/>
    <w:rsid w:val="007578A3"/>
    <w:rsid w:val="00776D6B"/>
    <w:rsid w:val="00777E59"/>
    <w:rsid w:val="00792C7B"/>
    <w:rsid w:val="007930FE"/>
    <w:rsid w:val="0079777F"/>
    <w:rsid w:val="007A201F"/>
    <w:rsid w:val="007A33D8"/>
    <w:rsid w:val="007A4120"/>
    <w:rsid w:val="007C4AF2"/>
    <w:rsid w:val="007E128A"/>
    <w:rsid w:val="007E2BF1"/>
    <w:rsid w:val="007E711F"/>
    <w:rsid w:val="007E7E5D"/>
    <w:rsid w:val="007F2831"/>
    <w:rsid w:val="00801919"/>
    <w:rsid w:val="00803AA1"/>
    <w:rsid w:val="00813B51"/>
    <w:rsid w:val="008166AD"/>
    <w:rsid w:val="0083520E"/>
    <w:rsid w:val="00851372"/>
    <w:rsid w:val="00860E98"/>
    <w:rsid w:val="008645A1"/>
    <w:rsid w:val="00867DCD"/>
    <w:rsid w:val="00871BDA"/>
    <w:rsid w:val="00874773"/>
    <w:rsid w:val="0087538B"/>
    <w:rsid w:val="00882579"/>
    <w:rsid w:val="008B3B35"/>
    <w:rsid w:val="008C5015"/>
    <w:rsid w:val="008C5926"/>
    <w:rsid w:val="008D087A"/>
    <w:rsid w:val="008D680D"/>
    <w:rsid w:val="008D77A8"/>
    <w:rsid w:val="008F7D47"/>
    <w:rsid w:val="009124BD"/>
    <w:rsid w:val="00920DC3"/>
    <w:rsid w:val="00920E3A"/>
    <w:rsid w:val="00921E09"/>
    <w:rsid w:val="00922C2B"/>
    <w:rsid w:val="0093044A"/>
    <w:rsid w:val="00952D32"/>
    <w:rsid w:val="009732F2"/>
    <w:rsid w:val="00976D5E"/>
    <w:rsid w:val="00993BDD"/>
    <w:rsid w:val="00997685"/>
    <w:rsid w:val="009A1E74"/>
    <w:rsid w:val="009A645A"/>
    <w:rsid w:val="009B1F07"/>
    <w:rsid w:val="009B2248"/>
    <w:rsid w:val="009E0761"/>
    <w:rsid w:val="009F2874"/>
    <w:rsid w:val="00A02995"/>
    <w:rsid w:val="00A038B7"/>
    <w:rsid w:val="00A10BF8"/>
    <w:rsid w:val="00A2240B"/>
    <w:rsid w:val="00A22B98"/>
    <w:rsid w:val="00A33695"/>
    <w:rsid w:val="00A617D7"/>
    <w:rsid w:val="00A7225B"/>
    <w:rsid w:val="00A72A49"/>
    <w:rsid w:val="00A758EB"/>
    <w:rsid w:val="00A81ACE"/>
    <w:rsid w:val="00A84731"/>
    <w:rsid w:val="00A84DFF"/>
    <w:rsid w:val="00A87039"/>
    <w:rsid w:val="00A9003D"/>
    <w:rsid w:val="00A96264"/>
    <w:rsid w:val="00AB0ACC"/>
    <w:rsid w:val="00AB42A1"/>
    <w:rsid w:val="00AC6A5D"/>
    <w:rsid w:val="00AD35CC"/>
    <w:rsid w:val="00AD3F9C"/>
    <w:rsid w:val="00AE17CF"/>
    <w:rsid w:val="00AE42C1"/>
    <w:rsid w:val="00AF74EA"/>
    <w:rsid w:val="00B01374"/>
    <w:rsid w:val="00B01996"/>
    <w:rsid w:val="00B02B2B"/>
    <w:rsid w:val="00B21305"/>
    <w:rsid w:val="00B23276"/>
    <w:rsid w:val="00B237F8"/>
    <w:rsid w:val="00B6006F"/>
    <w:rsid w:val="00B62CF1"/>
    <w:rsid w:val="00B6581E"/>
    <w:rsid w:val="00B73F62"/>
    <w:rsid w:val="00B740B8"/>
    <w:rsid w:val="00B80E2F"/>
    <w:rsid w:val="00B83F9E"/>
    <w:rsid w:val="00B844A6"/>
    <w:rsid w:val="00B85259"/>
    <w:rsid w:val="00B85B4E"/>
    <w:rsid w:val="00B933FC"/>
    <w:rsid w:val="00BA0742"/>
    <w:rsid w:val="00BA295C"/>
    <w:rsid w:val="00BB5FF9"/>
    <w:rsid w:val="00BD2653"/>
    <w:rsid w:val="00BD6392"/>
    <w:rsid w:val="00BE6F63"/>
    <w:rsid w:val="00BF28E4"/>
    <w:rsid w:val="00BF3DE0"/>
    <w:rsid w:val="00C0334F"/>
    <w:rsid w:val="00C0534D"/>
    <w:rsid w:val="00C079AC"/>
    <w:rsid w:val="00C1033B"/>
    <w:rsid w:val="00C1349D"/>
    <w:rsid w:val="00C14D57"/>
    <w:rsid w:val="00C348F4"/>
    <w:rsid w:val="00C373EE"/>
    <w:rsid w:val="00C5582A"/>
    <w:rsid w:val="00C56F7C"/>
    <w:rsid w:val="00C63CF8"/>
    <w:rsid w:val="00C74DE2"/>
    <w:rsid w:val="00C75C5B"/>
    <w:rsid w:val="00C77AC8"/>
    <w:rsid w:val="00C87664"/>
    <w:rsid w:val="00C91190"/>
    <w:rsid w:val="00C94DBF"/>
    <w:rsid w:val="00CB30E3"/>
    <w:rsid w:val="00CC45D8"/>
    <w:rsid w:val="00CC48AB"/>
    <w:rsid w:val="00D12859"/>
    <w:rsid w:val="00D12B7F"/>
    <w:rsid w:val="00D36187"/>
    <w:rsid w:val="00D43C3B"/>
    <w:rsid w:val="00D46139"/>
    <w:rsid w:val="00D619D3"/>
    <w:rsid w:val="00D75272"/>
    <w:rsid w:val="00D778CC"/>
    <w:rsid w:val="00D9050F"/>
    <w:rsid w:val="00DC2AE2"/>
    <w:rsid w:val="00DC502D"/>
    <w:rsid w:val="00DC7AA2"/>
    <w:rsid w:val="00DD51B7"/>
    <w:rsid w:val="00DE1D43"/>
    <w:rsid w:val="00DE4A3F"/>
    <w:rsid w:val="00DF7EE6"/>
    <w:rsid w:val="00E00FB3"/>
    <w:rsid w:val="00E04C7C"/>
    <w:rsid w:val="00E05227"/>
    <w:rsid w:val="00E16EFD"/>
    <w:rsid w:val="00E31C42"/>
    <w:rsid w:val="00E32014"/>
    <w:rsid w:val="00E32C2C"/>
    <w:rsid w:val="00E375F9"/>
    <w:rsid w:val="00E529CB"/>
    <w:rsid w:val="00E67605"/>
    <w:rsid w:val="00E825BA"/>
    <w:rsid w:val="00E9716D"/>
    <w:rsid w:val="00EA23CF"/>
    <w:rsid w:val="00EA29C1"/>
    <w:rsid w:val="00EB781B"/>
    <w:rsid w:val="00EB78A1"/>
    <w:rsid w:val="00EC384E"/>
    <w:rsid w:val="00ED574A"/>
    <w:rsid w:val="00EE7F4F"/>
    <w:rsid w:val="00EF7C56"/>
    <w:rsid w:val="00F13870"/>
    <w:rsid w:val="00F14677"/>
    <w:rsid w:val="00F23410"/>
    <w:rsid w:val="00F43352"/>
    <w:rsid w:val="00F534BD"/>
    <w:rsid w:val="00F571D7"/>
    <w:rsid w:val="00F75BBB"/>
    <w:rsid w:val="00F75BD7"/>
    <w:rsid w:val="00F94030"/>
    <w:rsid w:val="00FA3201"/>
    <w:rsid w:val="00FA4DF3"/>
    <w:rsid w:val="00FA5063"/>
    <w:rsid w:val="00FA7D17"/>
    <w:rsid w:val="00FB384A"/>
    <w:rsid w:val="00FC0BD6"/>
    <w:rsid w:val="00FC6795"/>
    <w:rsid w:val="00FE20B5"/>
    <w:rsid w:val="00FE5116"/>
    <w:rsid w:val="00FE58FE"/>
    <w:rsid w:val="00FF1F64"/>
    <w:rsid w:val="00FF68AF"/>
    <w:rsid w:val="02D772E6"/>
    <w:rsid w:val="050B52DB"/>
    <w:rsid w:val="06B9536F"/>
    <w:rsid w:val="073E1678"/>
    <w:rsid w:val="0C39368C"/>
    <w:rsid w:val="0F2D51A9"/>
    <w:rsid w:val="10A04E6A"/>
    <w:rsid w:val="190279A4"/>
    <w:rsid w:val="19816F13"/>
    <w:rsid w:val="1D1A61BE"/>
    <w:rsid w:val="1F7E15D3"/>
    <w:rsid w:val="21797EA7"/>
    <w:rsid w:val="25B72186"/>
    <w:rsid w:val="276C5058"/>
    <w:rsid w:val="2D4C5C55"/>
    <w:rsid w:val="369F29E6"/>
    <w:rsid w:val="3ADC4C12"/>
    <w:rsid w:val="3B434920"/>
    <w:rsid w:val="3B6C6DD2"/>
    <w:rsid w:val="3EAE74E2"/>
    <w:rsid w:val="3EC33F55"/>
    <w:rsid w:val="3EF30253"/>
    <w:rsid w:val="3FA22456"/>
    <w:rsid w:val="4010684E"/>
    <w:rsid w:val="404A5084"/>
    <w:rsid w:val="419B2617"/>
    <w:rsid w:val="43124DC2"/>
    <w:rsid w:val="441011B4"/>
    <w:rsid w:val="44A94B0D"/>
    <w:rsid w:val="46833B1E"/>
    <w:rsid w:val="497F0714"/>
    <w:rsid w:val="4B4B6403"/>
    <w:rsid w:val="4B5E259A"/>
    <w:rsid w:val="4DA15B84"/>
    <w:rsid w:val="4E9466E9"/>
    <w:rsid w:val="517616C4"/>
    <w:rsid w:val="52530121"/>
    <w:rsid w:val="52560835"/>
    <w:rsid w:val="55540532"/>
    <w:rsid w:val="56B37008"/>
    <w:rsid w:val="593F4722"/>
    <w:rsid w:val="5A6B7AE2"/>
    <w:rsid w:val="62BF012A"/>
    <w:rsid w:val="646E1F04"/>
    <w:rsid w:val="65AC1BB2"/>
    <w:rsid w:val="66B931EB"/>
    <w:rsid w:val="6B533CDA"/>
    <w:rsid w:val="6D1408AE"/>
    <w:rsid w:val="6D213C31"/>
    <w:rsid w:val="6DF41E8C"/>
    <w:rsid w:val="6DFA290F"/>
    <w:rsid w:val="6FBC74F6"/>
    <w:rsid w:val="754725F9"/>
    <w:rsid w:val="7976306A"/>
    <w:rsid w:val="79793531"/>
    <w:rsid w:val="7A2A466D"/>
    <w:rsid w:val="7B80676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autoRedefine/>
    <w:qFormat/>
    <w:uiPriority w:val="0"/>
    <w:pPr>
      <w:keepNext/>
      <w:keepLines/>
      <w:spacing w:after="120"/>
      <w:outlineLvl w:val="0"/>
    </w:pPr>
    <w:rPr>
      <w:rFonts w:eastAsia="黑体"/>
      <w:b/>
      <w:bCs/>
      <w:kern w:val="44"/>
      <w:szCs w:val="44"/>
    </w:rPr>
  </w:style>
  <w:style w:type="paragraph" w:styleId="3">
    <w:name w:val="heading 4"/>
    <w:basedOn w:val="1"/>
    <w:next w:val="1"/>
    <w:autoRedefine/>
    <w:semiHidden/>
    <w:unhideWhenUsed/>
    <w:qFormat/>
    <w:uiPriority w:val="9"/>
    <w:pPr>
      <w:spacing w:beforeAutospacing="1" w:afterAutospacing="1"/>
      <w:jc w:val="left"/>
      <w:outlineLvl w:val="3"/>
    </w:pPr>
    <w:rPr>
      <w:rFonts w:hint="eastAsia" w:ascii="宋体" w:hAnsi="宋体" w:eastAsia="宋体" w:cs="Times New Roman"/>
      <w:b/>
      <w:kern w:val="0"/>
      <w:sz w:val="24"/>
      <w:szCs w:val="24"/>
    </w:rPr>
  </w:style>
  <w:style w:type="character" w:default="1" w:styleId="13">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link w:val="22"/>
    <w:autoRedefine/>
    <w:semiHidden/>
    <w:unhideWhenUsed/>
    <w:qFormat/>
    <w:uiPriority w:val="99"/>
    <w:pPr>
      <w:jc w:val="left"/>
    </w:pPr>
  </w:style>
  <w:style w:type="paragraph" w:styleId="5">
    <w:name w:val="Balloon Text"/>
    <w:basedOn w:val="1"/>
    <w:link w:val="24"/>
    <w:autoRedefine/>
    <w:semiHidden/>
    <w:unhideWhenUsed/>
    <w:qFormat/>
    <w:uiPriority w:val="99"/>
    <w:rPr>
      <w:sz w:val="18"/>
      <w:szCs w:val="18"/>
    </w:rPr>
  </w:style>
  <w:style w:type="paragraph" w:styleId="6">
    <w:name w:val="footer"/>
    <w:basedOn w:val="1"/>
    <w:link w:val="21"/>
    <w:autoRedefine/>
    <w:unhideWhenUsed/>
    <w:qFormat/>
    <w:uiPriority w:val="99"/>
    <w:pPr>
      <w:tabs>
        <w:tab w:val="center" w:pos="4153"/>
        <w:tab w:val="right" w:pos="8306"/>
      </w:tabs>
      <w:snapToGrid w:val="0"/>
      <w:jc w:val="left"/>
    </w:pPr>
    <w:rPr>
      <w:sz w:val="18"/>
      <w:szCs w:val="18"/>
    </w:rPr>
  </w:style>
  <w:style w:type="paragraph" w:styleId="7">
    <w:name w:val="header"/>
    <w:basedOn w:val="1"/>
    <w:link w:val="2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autoRedefine/>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9">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0">
    <w:name w:val="Title"/>
    <w:basedOn w:val="2"/>
    <w:next w:val="1"/>
    <w:link w:val="19"/>
    <w:autoRedefine/>
    <w:qFormat/>
    <w:uiPriority w:val="0"/>
    <w:pPr>
      <w:spacing w:beforeLines="100" w:line="360" w:lineRule="auto"/>
      <w:jc w:val="center"/>
    </w:pPr>
    <w:rPr>
      <w:rFonts w:eastAsia="方正小标宋简体" w:asciiTheme="majorHAnsi" w:hAnsiTheme="majorHAnsi" w:cstheme="majorBidi"/>
      <w:b w:val="0"/>
      <w:bCs w:val="0"/>
      <w:sz w:val="44"/>
      <w:szCs w:val="32"/>
    </w:rPr>
  </w:style>
  <w:style w:type="paragraph" w:styleId="11">
    <w:name w:val="annotation subject"/>
    <w:basedOn w:val="4"/>
    <w:next w:val="4"/>
    <w:link w:val="23"/>
    <w:autoRedefine/>
    <w:semiHidden/>
    <w:unhideWhenUsed/>
    <w:qFormat/>
    <w:uiPriority w:val="99"/>
    <w:rPr>
      <w:b/>
      <w:bCs/>
    </w:rPr>
  </w:style>
  <w:style w:type="character" w:styleId="14">
    <w:name w:val="Emphasis"/>
    <w:basedOn w:val="13"/>
    <w:qFormat/>
    <w:uiPriority w:val="20"/>
    <w:rPr>
      <w:i/>
    </w:rPr>
  </w:style>
  <w:style w:type="character" w:styleId="15">
    <w:name w:val="Hyperlink"/>
    <w:basedOn w:val="13"/>
    <w:autoRedefine/>
    <w:unhideWhenUsed/>
    <w:qFormat/>
    <w:uiPriority w:val="99"/>
    <w:rPr>
      <w:color w:val="0563C1" w:themeColor="hyperlink"/>
      <w:u w:val="single"/>
      <w14:textFill>
        <w14:solidFill>
          <w14:schemeClr w14:val="hlink"/>
        </w14:solidFill>
      </w14:textFill>
    </w:rPr>
  </w:style>
  <w:style w:type="character" w:styleId="16">
    <w:name w:val="annotation reference"/>
    <w:basedOn w:val="13"/>
    <w:autoRedefine/>
    <w:semiHidden/>
    <w:unhideWhenUsed/>
    <w:qFormat/>
    <w:uiPriority w:val="99"/>
    <w:rPr>
      <w:sz w:val="21"/>
      <w:szCs w:val="21"/>
    </w:rPr>
  </w:style>
  <w:style w:type="character" w:customStyle="1" w:styleId="17">
    <w:name w:val="标题 1 Char"/>
    <w:basedOn w:val="13"/>
    <w:link w:val="2"/>
    <w:autoRedefine/>
    <w:qFormat/>
    <w:uiPriority w:val="0"/>
    <w:rPr>
      <w:rFonts w:eastAsia="黑体"/>
      <w:b/>
      <w:bCs/>
      <w:kern w:val="44"/>
      <w:sz w:val="32"/>
      <w:szCs w:val="44"/>
    </w:rPr>
  </w:style>
  <w:style w:type="paragraph" w:customStyle="1" w:styleId="18">
    <w:name w:val="小小标题"/>
    <w:basedOn w:val="2"/>
    <w:autoRedefine/>
    <w:qFormat/>
    <w:uiPriority w:val="0"/>
    <w:pPr>
      <w:ind w:firstLine="640"/>
    </w:pPr>
    <w:rPr>
      <w:rFonts w:ascii="Times New Roman" w:hAnsi="Times New Roman" w:eastAsia="楷体_GB2312" w:cs="Times New Roman"/>
    </w:rPr>
  </w:style>
  <w:style w:type="character" w:customStyle="1" w:styleId="19">
    <w:name w:val="标题 Char"/>
    <w:basedOn w:val="13"/>
    <w:link w:val="10"/>
    <w:autoRedefine/>
    <w:qFormat/>
    <w:uiPriority w:val="0"/>
    <w:rPr>
      <w:rFonts w:eastAsia="方正小标宋简体" w:asciiTheme="majorHAnsi" w:hAnsiTheme="majorHAnsi" w:cstheme="majorBidi"/>
      <w:kern w:val="44"/>
      <w:sz w:val="44"/>
      <w:szCs w:val="32"/>
    </w:rPr>
  </w:style>
  <w:style w:type="character" w:customStyle="1" w:styleId="20">
    <w:name w:val="页眉 Char"/>
    <w:basedOn w:val="13"/>
    <w:link w:val="7"/>
    <w:autoRedefine/>
    <w:qFormat/>
    <w:uiPriority w:val="99"/>
    <w:rPr>
      <w:sz w:val="18"/>
      <w:szCs w:val="18"/>
    </w:rPr>
  </w:style>
  <w:style w:type="character" w:customStyle="1" w:styleId="21">
    <w:name w:val="页脚 Char"/>
    <w:basedOn w:val="13"/>
    <w:link w:val="6"/>
    <w:autoRedefine/>
    <w:qFormat/>
    <w:uiPriority w:val="99"/>
    <w:rPr>
      <w:sz w:val="18"/>
      <w:szCs w:val="18"/>
    </w:rPr>
  </w:style>
  <w:style w:type="character" w:customStyle="1" w:styleId="22">
    <w:name w:val="批注文字 Char"/>
    <w:basedOn w:val="13"/>
    <w:link w:val="4"/>
    <w:autoRedefine/>
    <w:semiHidden/>
    <w:qFormat/>
    <w:uiPriority w:val="99"/>
  </w:style>
  <w:style w:type="character" w:customStyle="1" w:styleId="23">
    <w:name w:val="批注主题 Char"/>
    <w:basedOn w:val="22"/>
    <w:link w:val="11"/>
    <w:autoRedefine/>
    <w:semiHidden/>
    <w:qFormat/>
    <w:uiPriority w:val="99"/>
    <w:rPr>
      <w:b/>
      <w:bCs/>
    </w:rPr>
  </w:style>
  <w:style w:type="character" w:customStyle="1" w:styleId="24">
    <w:name w:val="批注框文本 Char"/>
    <w:basedOn w:val="13"/>
    <w:link w:val="5"/>
    <w:autoRedefine/>
    <w:semiHidden/>
    <w:qFormat/>
    <w:uiPriority w:val="99"/>
    <w:rPr>
      <w:sz w:val="18"/>
      <w:szCs w:val="18"/>
    </w:rPr>
  </w:style>
  <w:style w:type="paragraph" w:styleId="25">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7E69F2-FEAC-4D23-BF81-1ADAA2A432BD}">
  <ds:schemaRefs/>
</ds:datastoreItem>
</file>

<file path=docProps/app.xml><?xml version="1.0" encoding="utf-8"?>
<Properties xmlns="http://schemas.openxmlformats.org/officeDocument/2006/extended-properties" xmlns:vt="http://schemas.openxmlformats.org/officeDocument/2006/docPropsVTypes">
  <Template>Normal</Template>
  <Company>SkyUN.Org</Company>
  <Pages>4</Pages>
  <Words>5058</Words>
  <Characters>5139</Characters>
  <Lines>39</Lines>
  <Paragraphs>11</Paragraphs>
  <TotalTime>23</TotalTime>
  <ScaleCrop>false</ScaleCrop>
  <LinksUpToDate>false</LinksUpToDate>
  <CharactersWithSpaces>5369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2019-12-23T06:35:00Z</dcterms:created>
  <dc:creator>wangzl</dc:creator>
  <cp:lastModifiedBy>鲁浩然</cp:lastModifiedBy>
  <cp:lastPrinted>2019-06-20T01:01:00Z</cp:lastPrinted>
  <dcterms:modified xsi:type="dcterms:W3CDTF">2024-06-18T07:47:46Z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AEC0C141BF8946DFB27F630FE2CA4F14_13</vt:lpwstr>
  </property>
</Properties>
</file>