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C7AFB4">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4909E0CE">
      <w:pPr>
        <w:adjustRightInd w:val="0"/>
        <w:snapToGrid w:val="0"/>
        <w:spacing w:line="360" w:lineRule="exact"/>
        <w:ind w:right="-199" w:rightChars="-95" w:firstLine="422" w:firstLineChars="200"/>
        <w:rPr>
          <w:rFonts w:asciiTheme="minorEastAsia" w:hAnsiTheme="minorEastAsia"/>
          <w:b/>
          <w:kern w:val="0"/>
          <w:szCs w:val="21"/>
        </w:rPr>
      </w:pPr>
    </w:p>
    <w:p w14:paraId="55C548A8">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w:t>
      </w:r>
      <w:r>
        <w:rPr>
          <w:rFonts w:hint="eastAsia" w:asciiTheme="minorEastAsia" w:hAnsiTheme="minorEastAsia"/>
          <w:b/>
          <w:kern w:val="0"/>
          <w:szCs w:val="21"/>
          <w:lang w:val="en-US" w:eastAsia="zh-CN"/>
        </w:rPr>
        <w:t>拍卖，并通过网络拍卖方式组织竞价活动的项</w:t>
      </w:r>
      <w:r>
        <w:rPr>
          <w:rFonts w:hint="eastAsia" w:asciiTheme="minorEastAsia" w:hAnsiTheme="minorEastAsia"/>
          <w:b/>
          <w:kern w:val="0"/>
          <w:szCs w:val="21"/>
        </w:rPr>
        <w:t>目。如本项目转让方或挂牌公告对以下条款有不同约定的，从其约定。一旦报名，即表明已阅读并接受以下全部条款。</w:t>
      </w:r>
    </w:p>
    <w:p w14:paraId="483107BC">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w:t>
      </w:r>
      <w:r>
        <w:rPr>
          <w:rFonts w:hint="eastAsia" w:cs="宋体" w:asciiTheme="minorEastAsia" w:hAnsiTheme="minorEastAsia"/>
          <w:kern w:val="0"/>
          <w:szCs w:val="21"/>
          <w:lang w:eastAsia="zh-CN"/>
        </w:rPr>
        <w:t>》《</w:t>
      </w:r>
      <w:r>
        <w:rPr>
          <w:rFonts w:hint="eastAsia" w:cs="宋体" w:asciiTheme="minorEastAsia" w:hAnsiTheme="minorEastAsia"/>
          <w:kern w:val="0"/>
          <w:szCs w:val="21"/>
        </w:rPr>
        <w:t>山东产权交易中心交易业务竞价组织管理办法</w:t>
      </w:r>
      <w:r>
        <w:rPr>
          <w:rFonts w:hint="eastAsia" w:cs="宋体" w:asciiTheme="minorEastAsia" w:hAnsiTheme="minorEastAsia"/>
          <w:kern w:val="0"/>
          <w:szCs w:val="21"/>
          <w:lang w:eastAsia="zh-CN"/>
        </w:rPr>
        <w:t>》《</w:t>
      </w:r>
      <w:r>
        <w:rPr>
          <w:rFonts w:hint="eastAsia" w:ascii="宋体" w:hAnsi="宋体" w:cs="宋体"/>
          <w:kern w:val="0"/>
          <w:sz w:val="24"/>
          <w:lang w:val="en-US" w:eastAsia="zh-CN"/>
        </w:rPr>
        <w:t>山东产权交易中心拍卖实施办法</w:t>
      </w:r>
      <w:r>
        <w:rPr>
          <w:rFonts w:hint="eastAsia" w:cs="宋体" w:asciiTheme="minorEastAsia" w:hAnsiTheme="minorEastAsia"/>
          <w:kern w:val="0"/>
          <w:szCs w:val="21"/>
        </w:rPr>
        <w:t>》制定</w:t>
      </w:r>
      <w:r>
        <w:rPr>
          <w:rFonts w:hint="eastAsia" w:cs="仿宋_GB2312" w:asciiTheme="minorEastAsia" w:hAnsiTheme="minorEastAsia"/>
          <w:szCs w:val="21"/>
        </w:rPr>
        <w:t>。采用产权中心网络竞价系统组织网络拍卖的，按照《山东产权交易中心网络竞价实施办法》有关规定执行。</w:t>
      </w:r>
    </w:p>
    <w:p w14:paraId="3A30FF28">
      <w:pPr>
        <w:widowControl/>
        <w:spacing w:line="360" w:lineRule="exact"/>
        <w:ind w:right="-199" w:rightChars="-95" w:firstLine="411" w:firstLineChars="196"/>
        <w:rPr>
          <w:rFonts w:hint="eastAsia"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5"/>
          <w:rFonts w:cs="宋体" w:asciiTheme="minorEastAsia" w:hAnsiTheme="minorEastAsia"/>
          <w:color w:val="auto"/>
          <w:kern w:val="0"/>
          <w:szCs w:val="21"/>
        </w:rPr>
        <w:t>www.sdcqjy.com</w:t>
      </w:r>
      <w:r>
        <w:rPr>
          <w:rStyle w:val="5"/>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w:t>
      </w:r>
    </w:p>
    <w:p w14:paraId="4B17E8A3">
      <w:pPr>
        <w:widowControl/>
        <w:spacing w:line="360" w:lineRule="exact"/>
        <w:ind w:right="-199" w:rightChars="-95" w:firstLine="411" w:firstLineChars="196"/>
        <w:rPr>
          <w:rFonts w:hint="eastAsia" w:cs="宋体" w:asciiTheme="minorEastAsia" w:hAnsiTheme="minorEastAsia"/>
          <w:kern w:val="0"/>
          <w:szCs w:val="21"/>
        </w:rPr>
      </w:pPr>
      <w:r>
        <w:rPr>
          <w:rFonts w:hint="eastAsia" w:cs="宋体" w:asciiTheme="minorEastAsia" w:hAnsiTheme="minorEastAsia"/>
          <w:kern w:val="0"/>
          <w:szCs w:val="21"/>
        </w:rPr>
        <w:t>信息披露公告期满后，只产生一个符合条件的意向受让方的，除涉及优先购买权人未放弃优先购买权的情形外，交易双方按照转让底价与意向受让方报价孰高原则确定交易价格，签订资产交易合同或其他成交确认文件。</w:t>
      </w:r>
    </w:p>
    <w:p w14:paraId="2D60CB40">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信息披露公告期满，产生两个及以上符合条件的意向受让方的，产权中心按照公告确定的竞价方式组织实施竞价。</w:t>
      </w:r>
    </w:p>
    <w:p w14:paraId="7B904DBF">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三、参加本项目的竞买人（已交纳本项目保证金并经审核通过的意向受让方），应已了解并遵守《山东产权交易中心企业国有资产转让业务操作规则</w:t>
      </w:r>
      <w:r>
        <w:rPr>
          <w:rFonts w:hint="eastAsia" w:cs="宋体" w:asciiTheme="minorEastAsia" w:hAnsiTheme="minorEastAsia"/>
          <w:kern w:val="0"/>
          <w:szCs w:val="21"/>
          <w:lang w:eastAsia="zh-CN"/>
        </w:rPr>
        <w:t>》《</w:t>
      </w:r>
      <w:r>
        <w:rPr>
          <w:rFonts w:hint="eastAsia" w:cs="宋体" w:asciiTheme="minorEastAsia" w:hAnsiTheme="minorEastAsia"/>
          <w:kern w:val="0"/>
          <w:szCs w:val="21"/>
        </w:rPr>
        <w:t>山东产权交易中心交易业务竞价组织管理办法</w:t>
      </w:r>
      <w:r>
        <w:rPr>
          <w:rFonts w:hint="eastAsia" w:cs="宋体" w:asciiTheme="minorEastAsia" w:hAnsiTheme="minorEastAsia"/>
          <w:kern w:val="0"/>
          <w:szCs w:val="21"/>
          <w:lang w:eastAsia="zh-CN"/>
        </w:rPr>
        <w:t>》《</w:t>
      </w:r>
      <w:r>
        <w:rPr>
          <w:rFonts w:hint="eastAsia" w:cs="宋体" w:asciiTheme="minorEastAsia" w:hAnsiTheme="minorEastAsia"/>
          <w:kern w:val="0"/>
          <w:szCs w:val="21"/>
        </w:rPr>
        <w:t>山东产权交易中心网络竞价实施办法</w:t>
      </w:r>
      <w:r>
        <w:rPr>
          <w:rFonts w:hint="eastAsia" w:cs="宋体" w:asciiTheme="minorEastAsia" w:hAnsiTheme="minorEastAsia"/>
          <w:kern w:val="0"/>
          <w:szCs w:val="21"/>
          <w:lang w:eastAsia="zh-CN"/>
        </w:rPr>
        <w:t>》《</w:t>
      </w:r>
      <w:r>
        <w:rPr>
          <w:rFonts w:hint="eastAsia" w:cs="宋体" w:asciiTheme="minorEastAsia" w:hAnsiTheme="minorEastAsia"/>
          <w:kern w:val="0"/>
          <w:szCs w:val="21"/>
        </w:rPr>
        <w:t>山东产权交易中心交易保证金操作细则》和《</w:t>
      </w:r>
      <w:r>
        <w:rPr>
          <w:rFonts w:hint="eastAsia" w:ascii="宋体" w:hAnsi="宋体" w:cs="宋体"/>
          <w:kern w:val="0"/>
          <w:sz w:val="24"/>
          <w:lang w:val="en-US" w:eastAsia="zh-CN"/>
        </w:rPr>
        <w:t>山东产权交易中心拍卖实施办法</w:t>
      </w:r>
      <w:r>
        <w:rPr>
          <w:rFonts w:hint="eastAsia" w:cs="宋体" w:asciiTheme="minorEastAsia" w:hAnsiTheme="minorEastAsia"/>
          <w:kern w:val="0"/>
          <w:szCs w:val="21"/>
        </w:rPr>
        <w:t>》的规定（详见产权中心网站“政策法规”栏目），认真阅读了本《须知》并承诺接受其全部内容，对竞价的交易方式和规则已全面了解，</w:t>
      </w:r>
      <w:r>
        <w:rPr>
          <w:rFonts w:hint="eastAsia" w:cs="宋体" w:asciiTheme="minorEastAsia" w:hAnsiTheme="minorEastAsia"/>
          <w:kern w:val="0"/>
          <w:szCs w:val="21"/>
          <w:highlight w:val="none"/>
        </w:rPr>
        <w:t>接受采取</w:t>
      </w:r>
      <w:r>
        <w:rPr>
          <w:rFonts w:hint="eastAsia" w:cs="宋体" w:asciiTheme="minorEastAsia" w:hAnsiTheme="minorEastAsia"/>
          <w:kern w:val="0"/>
          <w:szCs w:val="21"/>
          <w:highlight w:val="none"/>
          <w:lang w:val="en-US" w:eastAsia="zh-CN"/>
        </w:rPr>
        <w:t>网络拍卖</w:t>
      </w:r>
      <w:r>
        <w:rPr>
          <w:rFonts w:hint="eastAsia" w:cs="宋体" w:asciiTheme="minorEastAsia" w:hAnsiTheme="minorEastAsia"/>
          <w:kern w:val="0"/>
          <w:szCs w:val="21"/>
          <w:highlight w:val="none"/>
        </w:rPr>
        <w:t>方式组织本次交易</w:t>
      </w:r>
      <w:r>
        <w:rPr>
          <w:rFonts w:hint="eastAsia" w:cs="宋体" w:asciiTheme="minorEastAsia" w:hAnsiTheme="minorEastAsia"/>
          <w:kern w:val="0"/>
          <w:szCs w:val="21"/>
        </w:rPr>
        <w:t>，自愿参加本项目</w:t>
      </w:r>
      <w:r>
        <w:rPr>
          <w:rFonts w:hint="eastAsia" w:cs="宋体" w:asciiTheme="minorEastAsia" w:hAnsiTheme="minorEastAsia"/>
          <w:kern w:val="0"/>
          <w:szCs w:val="21"/>
          <w:lang w:val="en-US" w:eastAsia="zh-CN"/>
        </w:rPr>
        <w:t>竞价</w:t>
      </w:r>
      <w:r>
        <w:rPr>
          <w:rFonts w:hint="eastAsia" w:cs="宋体" w:asciiTheme="minorEastAsia" w:hAnsiTheme="minorEastAsia"/>
          <w:kern w:val="0"/>
          <w:szCs w:val="21"/>
        </w:rPr>
        <w:t>活动，规范竞买行为，履行竞买义务，按规定参与报价程序。</w:t>
      </w:r>
    </w:p>
    <w:p w14:paraId="790AF481">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四、意向受让方应按公告要求的有效报名时间段内</w:t>
      </w:r>
      <w:r>
        <w:rPr>
          <w:rFonts w:hint="eastAsia" w:cs="宋体" w:asciiTheme="minorEastAsia" w:hAnsiTheme="minorEastAsia"/>
          <w:kern w:val="0"/>
          <w:szCs w:val="21"/>
          <w:lang w:eastAsia="zh-CN"/>
        </w:rPr>
        <w:t>自行登录</w:t>
      </w:r>
      <w:r>
        <w:rPr>
          <w:rFonts w:hint="eastAsia" w:cs="宋体" w:asciiTheme="minorEastAsia" w:hAnsiTheme="minorEastAsia"/>
          <w:kern w:val="0"/>
          <w:szCs w:val="21"/>
        </w:rPr>
        <w:t>产权中心网站或委托经纪机构办理报名登记手续，并按照公告的提示提交报名材料，逾期未按规定提交报名材料的，视为放弃受让资格。</w:t>
      </w:r>
    </w:p>
    <w:p w14:paraId="5195C61C">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w:t>
      </w:r>
      <w:r>
        <w:rPr>
          <w:rFonts w:hint="eastAsia" w:cs="宋体" w:asciiTheme="minorEastAsia" w:hAnsiTheme="minorEastAsia"/>
          <w:kern w:val="0"/>
          <w:szCs w:val="21"/>
          <w:lang w:eastAsia="zh-CN"/>
        </w:rPr>
        <w:t>、</w:t>
      </w:r>
      <w:r>
        <w:rPr>
          <w:rFonts w:hint="eastAsia" w:cs="宋体" w:asciiTheme="minorEastAsia" w:hAnsiTheme="minorEastAsia"/>
          <w:kern w:val="0"/>
          <w:szCs w:val="21"/>
        </w:rPr>
        <w:t>意向受让方应当按照信息披露公告要求，将交易保证金交纳至产权中心指定的交易资金结算专用账户，支付时间以到达产权中心指定账户时间为准。未按照信息披露公告要求交纳交易保证金的，视为放弃受让资格。本项目保证金金额详见产权中心网站公告，账户信息以交易系统推送的收款账号为准。保证金来源的合法性由交纳主体负责。交易资金原则上不得由他方代为收付。</w:t>
      </w:r>
    </w:p>
    <w:p w14:paraId="36E2BE62">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六、竞买人应于竞价活动开始前，登录产权中心网站（www.sdcqjy.com）了解并掌握相关操作规程；竞买人应对其竞买行为负责，竞价成交后不得以不了解竞价方式或不了解所竞得标的为由予以反悔。</w:t>
      </w:r>
    </w:p>
    <w:p w14:paraId="7F6A8342">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03927845">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对明示按交易标的现状进行交易的，意向受让方应自行勘察交易标的实物，提交交易申请、参与竞买即表明认可交易标的现状，意向受让方将自行承担可能由此产生的损失。</w:t>
      </w:r>
    </w:p>
    <w:p w14:paraId="101B871B">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78EE279B">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06EF1F69">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single"/>
        </w:rPr>
        <w:t>本</w:t>
      </w:r>
      <w:r>
        <w:rPr>
          <w:rFonts w:hint="eastAsia" w:cs="宋体" w:asciiTheme="minorEastAsia" w:hAnsiTheme="minorEastAsia"/>
          <w:kern w:val="0"/>
          <w:szCs w:val="21"/>
        </w:rPr>
        <w:t>项目。</w:t>
      </w:r>
    </w:p>
    <w:p w14:paraId="7EFF58E1">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14:paraId="61F8987A">
      <w:pPr>
        <w:widowControl/>
        <w:adjustRightInd w:val="0"/>
        <w:snapToGrid w:val="0"/>
        <w:spacing w:line="360" w:lineRule="exact"/>
        <w:ind w:right="0" w:rightChars="0"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产生两个及以上符合条件的意向受让方的，意向受让方须参与后续竞价程序。</w:t>
      </w:r>
    </w:p>
    <w:p w14:paraId="4788B1A1">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竞价过程中以挂牌价格为起始价格，竞价开始时间及加价幅度另行通知。竞价过程由多个连续报价周期组成，每个报价周期为1.5分钟（即 90秒）。在每个报价周期内，如出现新的有效报价，则进入新的报价周期；在一个报价周期内如未出现新的有效报价，则当前有效报价方成为本次交易的受让方。</w:t>
      </w:r>
    </w:p>
    <w:p w14:paraId="3FAB6387">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加价规则：</w:t>
      </w:r>
    </w:p>
    <w:p w14:paraId="20B4751E">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76CB265C">
      <w:pPr>
        <w:numPr>
          <w:ilvl w:val="0"/>
          <w:numId w:val="1"/>
        </w:numPr>
        <w:spacing w:line="360" w:lineRule="exact"/>
        <w:ind w:right="-199" w:rightChars="-95" w:firstLine="422" w:firstLineChars="200"/>
        <w:rPr>
          <w:rFonts w:ascii="宋体" w:hAnsi="宋体" w:eastAsia="宋体" w:cs="Times New Roman"/>
          <w:b/>
          <w:bCs/>
          <w:kern w:val="0"/>
          <w:szCs w:val="21"/>
          <w:highlight w:val="none"/>
        </w:rPr>
      </w:pPr>
      <w:r>
        <w:rPr>
          <w:rFonts w:hint="eastAsia" w:ascii="宋体" w:hAnsi="宋体" w:eastAsia="宋体" w:cs="Times New Roman"/>
          <w:b/>
          <w:bCs/>
          <w:szCs w:val="21"/>
          <w:highlight w:val="none"/>
        </w:rPr>
        <w:t>项目存在优先购买权人的，</w:t>
      </w:r>
      <w:r>
        <w:rPr>
          <w:rFonts w:hint="eastAsia" w:ascii="宋体" w:hAnsi="宋体" w:eastAsia="宋体" w:cs="Times New Roman"/>
          <w:b/>
          <w:bCs/>
          <w:kern w:val="0"/>
          <w:szCs w:val="21"/>
          <w:highlight w:val="none"/>
        </w:rPr>
        <w:t>优先购买权行使方式</w:t>
      </w:r>
      <w:r>
        <w:rPr>
          <w:rFonts w:hint="eastAsia" w:cs="宋体" w:asciiTheme="minorEastAsia" w:hAnsiTheme="minorEastAsia"/>
          <w:b/>
          <w:bCs/>
          <w:color w:val="auto"/>
          <w:kern w:val="0"/>
          <w:szCs w:val="21"/>
          <w:highlight w:val="none"/>
          <w:lang w:val="en-US" w:eastAsia="zh-CN"/>
        </w:rPr>
        <w:t>详见项目挂牌公告，具体</w:t>
      </w:r>
      <w:r>
        <w:rPr>
          <w:rFonts w:hint="eastAsia" w:ascii="宋体" w:hAnsi="宋体" w:eastAsia="宋体" w:cs="Times New Roman"/>
          <w:b/>
          <w:bCs/>
          <w:kern w:val="0"/>
          <w:szCs w:val="21"/>
          <w:highlight w:val="none"/>
          <w:lang w:val="en-US" w:eastAsia="zh-CN"/>
        </w:rPr>
        <w:t>参照</w:t>
      </w:r>
      <w:r>
        <w:rPr>
          <w:rFonts w:hint="eastAsia" w:ascii="宋体" w:hAnsi="宋体" w:eastAsia="宋体" w:cs="Times New Roman"/>
          <w:b/>
          <w:bCs/>
          <w:kern w:val="0"/>
          <w:szCs w:val="21"/>
          <w:highlight w:val="none"/>
        </w:rPr>
        <w:t>《企业国有产权交易优先购买权行使操作细则（试行）》</w:t>
      </w:r>
      <w:r>
        <w:rPr>
          <w:rFonts w:hint="eastAsia" w:cs="宋体" w:asciiTheme="minorEastAsia" w:hAnsiTheme="minorEastAsia"/>
          <w:b/>
          <w:bCs/>
          <w:color w:val="auto"/>
          <w:kern w:val="0"/>
          <w:szCs w:val="21"/>
          <w:highlight w:val="none"/>
          <w:lang w:val="en-US" w:eastAsia="zh-CN"/>
        </w:rPr>
        <w:t>有关要求执行</w:t>
      </w:r>
      <w:r>
        <w:rPr>
          <w:rFonts w:hint="eastAsia" w:ascii="宋体" w:hAnsi="宋体" w:eastAsia="宋体" w:cs="Times New Roman"/>
          <w:b/>
          <w:bCs/>
          <w:kern w:val="0"/>
          <w:szCs w:val="21"/>
          <w:highlight w:val="none"/>
        </w:rPr>
        <w:t>。</w:t>
      </w:r>
    </w:p>
    <w:p w14:paraId="768AE569">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63B16E08">
      <w:pPr>
        <w:widowControl/>
        <w:spacing w:line="360" w:lineRule="exact"/>
        <w:ind w:firstLine="490"/>
        <w:jc w:val="left"/>
        <w:rPr>
          <w:rFonts w:hint="eastAsia" w:ascii="宋体" w:hAnsi="宋体" w:cs="宋体"/>
          <w:color w:val="000000"/>
          <w:kern w:val="0"/>
          <w:sz w:val="24"/>
        </w:rPr>
      </w:pPr>
      <w:r>
        <w:rPr>
          <w:rFonts w:hint="eastAsia" w:ascii="宋体" w:hAnsi="宋体" w:eastAsia="宋体" w:cs="Times New Roman"/>
          <w:szCs w:val="21"/>
        </w:rPr>
        <w:t>受让方</w:t>
      </w:r>
      <w:r>
        <w:rPr>
          <w:rFonts w:hint="eastAsia" w:ascii="宋体" w:hAnsi="宋体" w:cs="宋体"/>
          <w:color w:val="000000"/>
          <w:kern w:val="0"/>
          <w:sz w:val="24"/>
        </w:rPr>
        <w:t>在收到《结果通知单》之日起</w:t>
      </w:r>
      <w:r>
        <w:rPr>
          <w:rFonts w:hint="eastAsia" w:ascii="宋体" w:hAnsi="宋体" w:cs="宋体"/>
          <w:color w:val="000000"/>
          <w:kern w:val="0"/>
          <w:sz w:val="24"/>
          <w:lang w:val="en-US" w:eastAsia="zh-CN"/>
        </w:rPr>
        <w:t>3</w:t>
      </w:r>
      <w:r>
        <w:rPr>
          <w:rFonts w:hint="eastAsia" w:ascii="宋体" w:hAnsi="宋体" w:cs="宋体"/>
          <w:color w:val="000000"/>
          <w:kern w:val="0"/>
          <w:sz w:val="24"/>
        </w:rPr>
        <w:t>个工作日内与转让方签署《资产交易合同》，并于签订《资产交易合同》之日起</w:t>
      </w:r>
      <w:r>
        <w:rPr>
          <w:rFonts w:hint="eastAsia" w:ascii="宋体" w:hAnsi="宋体" w:cs="宋体"/>
          <w:color w:val="000000"/>
          <w:kern w:val="0"/>
          <w:sz w:val="24"/>
          <w:lang w:val="en-US" w:eastAsia="zh-CN"/>
        </w:rPr>
        <w:t>3</w:t>
      </w:r>
      <w:r>
        <w:rPr>
          <w:rFonts w:hint="eastAsia" w:ascii="宋体" w:hAnsi="宋体" w:cs="宋体"/>
          <w:color w:val="000000"/>
          <w:kern w:val="0"/>
          <w:sz w:val="24"/>
        </w:rPr>
        <w:t>个工作日内支付应付交易价款及交易费用至指定账户。</w:t>
      </w:r>
    </w:p>
    <w:p w14:paraId="7A76B0F0">
      <w:pPr>
        <w:numPr>
          <w:ilvl w:val="0"/>
          <w:numId w:val="0"/>
        </w:numPr>
        <w:adjustRightInd w:val="0"/>
        <w:snapToGrid w:val="0"/>
        <w:spacing w:after="120" w:line="400" w:lineRule="exact"/>
        <w:ind w:right="0" w:rightChars="0" w:firstLine="480" w:firstLineChars="200"/>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1、项目以协议方式成交，产权中心交易服务费按</w:t>
      </w:r>
      <w:r>
        <w:rPr>
          <w:rFonts w:hint="eastAsia" w:ascii="宋体" w:hAnsi="宋体" w:eastAsia="宋体" w:cs="Times New Roman"/>
          <w:color w:val="auto"/>
          <w:sz w:val="24"/>
          <w:szCs w:val="24"/>
          <w:highlight w:val="none"/>
        </w:rPr>
        <w:t>成交金额的0.1%</w:t>
      </w:r>
      <w:r>
        <w:rPr>
          <w:rFonts w:hint="eastAsia" w:ascii="宋体" w:hAnsi="宋体" w:eastAsia="宋体" w:cs="Times New Roman"/>
          <w:color w:val="auto"/>
          <w:sz w:val="24"/>
          <w:szCs w:val="24"/>
          <w:highlight w:val="none"/>
          <w:lang w:val="en-US" w:eastAsia="zh-CN"/>
        </w:rPr>
        <w:t>交纳；</w:t>
      </w:r>
    </w:p>
    <w:p w14:paraId="7AC1A867">
      <w:pPr>
        <w:numPr>
          <w:ilvl w:val="0"/>
          <w:numId w:val="0"/>
        </w:numPr>
        <w:adjustRightInd w:val="0"/>
        <w:snapToGrid w:val="0"/>
        <w:spacing w:after="120" w:line="400" w:lineRule="exact"/>
        <w:ind w:right="0" w:rightChars="0" w:firstLine="480" w:firstLineChars="200"/>
        <w:rPr>
          <w:rFonts w:ascii="宋体" w:hAnsi="宋体" w:eastAsia="宋体" w:cs="Times New Roman"/>
          <w:color w:val="auto"/>
          <w:szCs w:val="21"/>
        </w:rPr>
      </w:pPr>
      <w:r>
        <w:rPr>
          <w:rFonts w:hint="eastAsia" w:ascii="宋体" w:hAnsi="宋体" w:eastAsia="宋体" w:cs="Times New Roman"/>
          <w:color w:val="auto"/>
          <w:sz w:val="24"/>
          <w:szCs w:val="24"/>
          <w:highlight w:val="none"/>
          <w:lang w:val="en-US" w:eastAsia="zh-CN"/>
        </w:rPr>
        <w:t>2、项目以拍卖方式成交，产权中心交易服务费按</w:t>
      </w:r>
      <w:r>
        <w:rPr>
          <w:rFonts w:hint="eastAsia" w:ascii="宋体" w:hAnsi="宋体" w:eastAsia="宋体" w:cs="Times New Roman"/>
          <w:color w:val="auto"/>
          <w:sz w:val="24"/>
          <w:szCs w:val="24"/>
          <w:highlight w:val="none"/>
        </w:rPr>
        <w:t>成交金额的</w:t>
      </w:r>
      <w:r>
        <w:rPr>
          <w:rFonts w:hint="eastAsia" w:ascii="宋体" w:hAnsi="宋体" w:eastAsia="宋体" w:cs="Times New Roman"/>
          <w:color w:val="auto"/>
          <w:sz w:val="24"/>
          <w:szCs w:val="24"/>
          <w:highlight w:val="none"/>
          <w:lang w:val="en-US" w:eastAsia="zh-CN"/>
        </w:rPr>
        <w:t>1.25</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交纳，拍卖公司交易佣金按成交金额的1.25</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en-US" w:eastAsia="zh-CN"/>
        </w:rPr>
        <w:t>交纳。</w:t>
      </w:r>
    </w:p>
    <w:p w14:paraId="3D1E7B59">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w:t>
      </w:r>
      <w:r>
        <w:rPr>
          <w:rFonts w:hint="eastAsia" w:cs="宋体" w:asciiTheme="minorEastAsia" w:hAnsiTheme="minorEastAsia"/>
          <w:kern w:val="0"/>
          <w:szCs w:val="21"/>
          <w:lang w:val="en-US" w:eastAsia="zh-CN"/>
        </w:rPr>
        <w:t>意向</w:t>
      </w:r>
      <w:r>
        <w:rPr>
          <w:rFonts w:hint="eastAsia" w:cs="宋体" w:asciiTheme="minorEastAsia" w:hAnsiTheme="minorEastAsia"/>
          <w:kern w:val="0"/>
          <w:szCs w:val="21"/>
        </w:rPr>
        <w:t>受让方交纳的交易保证金可以根据约定转为交易价款</w:t>
      </w:r>
      <w:r>
        <w:rPr>
          <w:rFonts w:hint="eastAsia" w:cs="宋体" w:asciiTheme="minorEastAsia" w:hAnsiTheme="minorEastAsia"/>
          <w:kern w:val="0"/>
          <w:szCs w:val="21"/>
          <w:lang w:val="en-US" w:eastAsia="zh-CN"/>
        </w:rPr>
        <w:t>的一部分；</w:t>
      </w:r>
      <w:r>
        <w:rPr>
          <w:rFonts w:hint="eastAsia" w:cs="宋体" w:asciiTheme="minorEastAsia" w:hAnsiTheme="minorEastAsia"/>
          <w:kern w:val="0"/>
          <w:szCs w:val="21"/>
        </w:rPr>
        <w:t>交易双方没有约定保证金转为部分交易价款，受让方已按约定支付交易价款且产权中心已出具交易凭证的，且未出现</w:t>
      </w:r>
      <w:r>
        <w:rPr>
          <w:rFonts w:hint="eastAsia" w:cs="宋体" w:asciiTheme="minorEastAsia" w:hAnsiTheme="minorEastAsia"/>
          <w:kern w:val="0"/>
          <w:szCs w:val="21"/>
          <w:lang w:val="en-US" w:eastAsia="zh-CN"/>
        </w:rPr>
        <w:t>违约</w:t>
      </w:r>
      <w:r>
        <w:rPr>
          <w:rFonts w:hint="eastAsia" w:cs="宋体" w:asciiTheme="minorEastAsia" w:hAnsiTheme="minorEastAsia"/>
          <w:kern w:val="0"/>
          <w:szCs w:val="21"/>
        </w:rPr>
        <w:t>情形的，</w:t>
      </w:r>
      <w:r>
        <w:rPr>
          <w:rFonts w:hint="eastAsia" w:cs="宋体" w:asciiTheme="minorEastAsia" w:hAnsiTheme="minorEastAsia"/>
          <w:kern w:val="0"/>
          <w:szCs w:val="21"/>
          <w:lang w:val="en-US" w:eastAsia="zh-CN"/>
        </w:rPr>
        <w:t>产权中心</w:t>
      </w:r>
      <w:r>
        <w:rPr>
          <w:rFonts w:hint="eastAsia" w:cs="宋体" w:asciiTheme="minorEastAsia" w:hAnsiTheme="minorEastAsia"/>
          <w:kern w:val="0"/>
          <w:szCs w:val="21"/>
        </w:rPr>
        <w:t>在收到受让方提交退还保证金书面申请后2个工作日内或按照产权交易合同的相关约定予以返还</w:t>
      </w:r>
      <w:r>
        <w:rPr>
          <w:rFonts w:hint="eastAsia" w:cs="宋体" w:asciiTheme="minorEastAsia" w:hAnsiTheme="minorEastAsia"/>
          <w:kern w:val="0"/>
          <w:szCs w:val="21"/>
          <w:lang w:eastAsia="zh-CN"/>
        </w:rPr>
        <w:t>。</w:t>
      </w:r>
      <w:r>
        <w:rPr>
          <w:rFonts w:hint="eastAsia" w:cs="宋体" w:asciiTheme="minorEastAsia" w:hAnsiTheme="minorEastAsia"/>
          <w:kern w:val="0"/>
          <w:szCs w:val="21"/>
        </w:rPr>
        <w:t>其他未成交且无违约行为的意向受让方交纳的交易保证金，由产权中心在确定受让方之日起2个工作日内一次性原额无息返还。</w:t>
      </w:r>
    </w:p>
    <w:p w14:paraId="322C862C">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7BEBE4A6">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w:t>
      </w:r>
      <w:r>
        <w:rPr>
          <w:rFonts w:hint="eastAsia" w:cs="宋体" w:asciiTheme="minorEastAsia" w:hAnsiTheme="minorEastAsia"/>
          <w:kern w:val="0"/>
          <w:szCs w:val="21"/>
          <w:highlight w:val="none"/>
          <w:lang w:val="en-US" w:eastAsia="zh-CN"/>
        </w:rPr>
        <w:t>或拍卖公司</w:t>
      </w:r>
      <w:r>
        <w:rPr>
          <w:rFonts w:hint="eastAsia" w:cs="宋体" w:asciiTheme="minorEastAsia" w:hAnsiTheme="minorEastAsia"/>
          <w:kern w:val="0"/>
          <w:szCs w:val="21"/>
        </w:rPr>
        <w:t>将按以下方式之一向意向受让方发送有关事项通知：</w:t>
      </w:r>
    </w:p>
    <w:p w14:paraId="43A3A585">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1F7BC79A">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7A39A184">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47EE4E2A">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592920ED">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214B41F0">
      <w:pPr>
        <w:widowControl/>
        <w:adjustRightInd w:val="0"/>
        <w:snapToGrid w:val="0"/>
        <w:spacing w:line="360" w:lineRule="exact"/>
        <w:ind w:right="-199" w:rightChars="-95" w:firstLine="480"/>
        <w:rPr>
          <w:rFonts w:hint="eastAsia" w:asciiTheme="minorEastAsia" w:hAnsiTheme="minorEastAsia" w:eastAsiaTheme="minorEastAsia"/>
          <w:kern w:val="0"/>
          <w:szCs w:val="21"/>
          <w:lang w:eastAsia="zh-CN"/>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r>
        <w:rPr>
          <w:rFonts w:hint="eastAsia" w:cs="宋体" w:asciiTheme="minorEastAsia" w:hAnsiTheme="minorEastAsia"/>
          <w:kern w:val="0"/>
          <w:szCs w:val="21"/>
          <w:lang w:eastAsia="zh-CN"/>
        </w:rPr>
        <w:t>。</w:t>
      </w:r>
    </w:p>
    <w:p w14:paraId="19E0BA28">
      <w:pPr>
        <w:widowControl/>
        <w:adjustRightInd w:val="0"/>
        <w:snapToGrid w:val="0"/>
        <w:spacing w:line="360" w:lineRule="exact"/>
        <w:ind w:right="-199" w:rightChars="-95" w:firstLine="480"/>
        <w:rPr>
          <w:rFonts w:hint="eastAsia" w:asciiTheme="minorEastAsia" w:hAnsiTheme="minorEastAsia" w:eastAsiaTheme="minorEastAsia"/>
          <w:kern w:val="0"/>
          <w:szCs w:val="21"/>
          <w:lang w:eastAsia="zh-CN"/>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r>
        <w:rPr>
          <w:rFonts w:hint="eastAsia" w:cs="宋体" w:asciiTheme="minorEastAsia" w:hAnsiTheme="minorEastAsia"/>
          <w:kern w:val="0"/>
          <w:szCs w:val="21"/>
          <w:lang w:eastAsia="zh-CN"/>
        </w:rPr>
        <w:t>。</w:t>
      </w:r>
    </w:p>
    <w:p w14:paraId="3631759E">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0F84C7B4">
      <w:pPr>
        <w:adjustRightInd w:val="0"/>
        <w:snapToGrid w:val="0"/>
        <w:spacing w:line="360" w:lineRule="exact"/>
        <w:ind w:firstLine="420" w:firstLineChars="200"/>
        <w:jc w:val="left"/>
        <w:rPr>
          <w:rFonts w:hint="eastAsia" w:ascii="宋体" w:hAnsi="宋体" w:eastAsia="宋体" w:cs="Times New Roman"/>
          <w:kern w:val="0"/>
          <w:szCs w:val="21"/>
          <w:lang w:eastAsia="zh-CN"/>
        </w:rPr>
      </w:pPr>
      <w:r>
        <w:rPr>
          <w:rFonts w:hint="eastAsia" w:ascii="宋体" w:hAnsi="宋体" w:eastAsia="宋体" w:cs="Times New Roman"/>
          <w:kern w:val="0"/>
          <w:szCs w:val="21"/>
        </w:rPr>
        <w:t>4、根据</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i w:val="0"/>
          <w:iCs w:val="0"/>
          <w:caps w:val="0"/>
          <w:spacing w:val="0"/>
          <w:kern w:val="0"/>
          <w:sz w:val="21"/>
          <w:szCs w:val="21"/>
          <w:shd w:val="clear"/>
        </w:rPr>
        <w:t>山东产权交易中心交易业务竞价组织管理办法</w:t>
      </w:r>
      <w:r>
        <w:rPr>
          <w:rFonts w:hint="eastAsia" w:cs="宋体" w:asciiTheme="minorEastAsia" w:hAnsiTheme="minorEastAsia" w:eastAsiaTheme="minorEastAsia"/>
          <w:kern w:val="0"/>
          <w:szCs w:val="21"/>
        </w:rPr>
        <w:t>》无</w:t>
      </w:r>
      <w:r>
        <w:rPr>
          <w:rFonts w:hint="eastAsia" w:ascii="宋体" w:hAnsi="宋体" w:eastAsia="宋体" w:cs="Times New Roman"/>
          <w:kern w:val="0"/>
          <w:szCs w:val="21"/>
        </w:rPr>
        <w:t>法正常组织竞价的</w:t>
      </w:r>
      <w:r>
        <w:rPr>
          <w:rFonts w:hint="eastAsia" w:ascii="宋体" w:hAnsi="宋体" w:eastAsia="宋体" w:cs="Times New Roman"/>
          <w:kern w:val="0"/>
          <w:szCs w:val="21"/>
          <w:lang w:eastAsia="zh-CN"/>
        </w:rPr>
        <w:t>。</w:t>
      </w:r>
    </w:p>
    <w:p w14:paraId="68A1DAB1">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692199B1">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w:t>
      </w:r>
      <w:r>
        <w:rPr>
          <w:rFonts w:hint="eastAsia" w:cs="宋体" w:asciiTheme="minorEastAsia" w:hAnsiTheme="minorEastAsia"/>
          <w:kern w:val="0"/>
          <w:szCs w:val="21"/>
          <w:lang w:eastAsia="zh-CN"/>
        </w:rPr>
        <w:t>、</w:t>
      </w:r>
      <w:r>
        <w:rPr>
          <w:rFonts w:hint="eastAsia" w:cs="宋体" w:asciiTheme="minorEastAsia" w:hAnsiTheme="minorEastAsia"/>
          <w:kern w:val="0"/>
          <w:szCs w:val="21"/>
          <w:lang w:val="en-US" w:eastAsia="zh-CN"/>
        </w:rPr>
        <w:t>软硬件故障</w:t>
      </w:r>
      <w:r>
        <w:rPr>
          <w:rFonts w:hint="eastAsia" w:cs="宋体" w:asciiTheme="minorEastAsia" w:hAnsiTheme="minorEastAsia"/>
          <w:kern w:val="0"/>
          <w:szCs w:val="21"/>
        </w:rPr>
        <w:t>等原因而导致系统异常、竞价活动中断的，产权中心不承担任何责任。产权中心将视情况组织继续报价或重新报价，并通过产权中心网站通知各意向受让</w:t>
      </w:r>
      <w:bookmarkStart w:id="0" w:name="_GoBack"/>
      <w:bookmarkEnd w:id="0"/>
      <w:r>
        <w:rPr>
          <w:rFonts w:hint="eastAsia" w:cs="宋体" w:asciiTheme="minorEastAsia" w:hAnsiTheme="minorEastAsia"/>
          <w:kern w:val="0"/>
          <w:szCs w:val="21"/>
        </w:rPr>
        <w:t>方。继续报价或重新报价的方式如下：</w:t>
      </w:r>
    </w:p>
    <w:p w14:paraId="6D59FE08">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64F7E1E7">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2CFF7C14">
      <w:pPr>
        <w:widowControl/>
        <w:spacing w:line="320" w:lineRule="exact"/>
        <w:ind w:right="-199" w:rightChars="-95" w:firstLine="420" w:firstLineChars="200"/>
        <w:rPr>
          <w:rFonts w:ascii="宋体" w:hAnsi="宋体" w:eastAsia="宋体" w:cs="宋体"/>
          <w:b w:val="0"/>
          <w:bCs w:val="0"/>
          <w:kern w:val="0"/>
          <w:szCs w:val="21"/>
        </w:rPr>
      </w:pPr>
      <w:r>
        <w:rPr>
          <w:rFonts w:hint="eastAsia" w:cs="宋体" w:asciiTheme="minorEastAsia" w:hAnsiTheme="minorEastAsia"/>
          <w:b w:val="0"/>
          <w:bCs w:val="0"/>
          <w:kern w:val="0"/>
          <w:szCs w:val="21"/>
        </w:rPr>
        <w:t>二十一、意向受让方须同意，</w:t>
      </w:r>
      <w:r>
        <w:rPr>
          <w:rFonts w:hint="eastAsia" w:ascii="宋体" w:hAnsi="宋体" w:eastAsia="宋体" w:cs="宋体"/>
          <w:b w:val="0"/>
          <w:bCs w:val="0"/>
          <w:kern w:val="0"/>
          <w:szCs w:val="21"/>
        </w:rPr>
        <w:t>被确定为受让方后不能在规定时间内与转让方签订</w:t>
      </w:r>
      <w:r>
        <w:rPr>
          <w:rFonts w:hint="eastAsia" w:cs="宋体" w:asciiTheme="minorEastAsia" w:hAnsiTheme="minorEastAsia"/>
          <w:b w:val="0"/>
          <w:bCs w:val="0"/>
          <w:kern w:val="0"/>
          <w:szCs w:val="21"/>
        </w:rPr>
        <w:t>《资产交易合同》并</w:t>
      </w:r>
      <w:r>
        <w:rPr>
          <w:rFonts w:hint="eastAsia" w:ascii="宋体" w:hAnsi="宋体" w:eastAsia="宋体" w:cs="宋体"/>
          <w:b w:val="0"/>
          <w:bCs w:val="0"/>
          <w:kern w:val="0"/>
          <w:szCs w:val="21"/>
        </w:rPr>
        <w:t>付清交易价款及交易费用、按要求完成项目移交的，承诺承担以下责任：</w:t>
      </w:r>
    </w:p>
    <w:p w14:paraId="107F860B">
      <w:pPr>
        <w:widowControl/>
        <w:spacing w:line="320" w:lineRule="exact"/>
        <w:ind w:right="-199" w:rightChars="-95" w:firstLine="420" w:firstLineChars="200"/>
        <w:rPr>
          <w:rFonts w:ascii="宋体" w:hAnsi="宋体" w:eastAsia="宋体" w:cs="宋体"/>
          <w:b w:val="0"/>
          <w:bCs w:val="0"/>
          <w:kern w:val="0"/>
          <w:szCs w:val="21"/>
        </w:rPr>
      </w:pPr>
      <w:r>
        <w:rPr>
          <w:rFonts w:hint="eastAsia" w:ascii="宋体" w:hAnsi="宋体" w:eastAsia="宋体" w:cs="宋体"/>
          <w:b w:val="0"/>
          <w:bCs w:val="0"/>
          <w:kern w:val="0"/>
          <w:szCs w:val="21"/>
        </w:rPr>
        <w:t>未能在规定时间内与转让方签订《资产交易合同》并付清全部交易价款及交易费用的，构成违约。意向受让方同意产权中心按照《山东产权交易中心交易保证金操作细则》</w:t>
      </w:r>
      <w:r>
        <w:rPr>
          <w:rFonts w:hint="eastAsia" w:cs="宋体" w:asciiTheme="minorEastAsia" w:hAnsiTheme="minorEastAsia"/>
          <w:b w:val="0"/>
          <w:bCs w:val="0"/>
          <w:kern w:val="0"/>
          <w:szCs w:val="21"/>
        </w:rPr>
        <w:t>扣</w:t>
      </w:r>
      <w:r>
        <w:rPr>
          <w:rFonts w:hint="eastAsia" w:ascii="宋体" w:hAnsi="宋体" w:eastAsia="宋体" w:cs="宋体"/>
          <w:b w:val="0"/>
          <w:bCs w:val="0"/>
          <w:kern w:val="0"/>
          <w:szCs w:val="21"/>
        </w:rPr>
        <w:t>收保证金。受让方构成违约的，仍须承担本次交易活动受让方及转</w:t>
      </w:r>
      <w:r>
        <w:rPr>
          <w:rFonts w:hint="eastAsia" w:asciiTheme="minorEastAsia" w:hAnsiTheme="minorEastAsia"/>
          <w:b w:val="0"/>
          <w:bCs w:val="0"/>
          <w:kern w:val="0"/>
          <w:szCs w:val="21"/>
        </w:rPr>
        <w:t>让方的全部交易费用。</w:t>
      </w:r>
      <w:r>
        <w:rPr>
          <w:rFonts w:hint="eastAsia" w:ascii="宋体" w:hAnsi="宋体" w:eastAsia="宋体" w:cs="宋体"/>
          <w:b w:val="0"/>
          <w:bCs w:val="0"/>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1136577F">
      <w:pPr>
        <w:widowControl/>
        <w:adjustRightInd w:val="0"/>
        <w:snapToGrid w:val="0"/>
        <w:spacing w:line="360" w:lineRule="exact"/>
        <w:ind w:right="-199" w:rightChars="-95" w:firstLine="480"/>
        <w:rPr>
          <w:rFonts w:hint="eastAsia"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332F8B56">
      <w:pPr>
        <w:ind w:firstLine="420" w:firstLineChars="200"/>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二十三、</w:t>
      </w:r>
      <w:r>
        <w:rPr>
          <w:rFonts w:hint="eastAsia" w:cs="宋体" w:asciiTheme="minorEastAsia" w:hAnsiTheme="minorEastAsia"/>
          <w:b w:val="0"/>
          <w:bCs w:val="0"/>
          <w:kern w:val="0"/>
          <w:szCs w:val="21"/>
        </w:rPr>
        <w:t>意向受让方</w:t>
      </w:r>
      <w:r>
        <w:rPr>
          <w:rFonts w:hint="eastAsia" w:cs="宋体" w:asciiTheme="minorEastAsia" w:hAnsiTheme="minorEastAsia"/>
          <w:kern w:val="0"/>
          <w:szCs w:val="21"/>
          <w:lang w:val="en-US" w:eastAsia="zh-CN"/>
        </w:rPr>
        <w:t>应当对在资产转让过程中获悉的交易各方及标的的相关情况承担保密义务。</w:t>
      </w:r>
    </w:p>
    <w:p w14:paraId="378B729C">
      <w:pPr>
        <w:pStyle w:val="2"/>
        <w:rPr>
          <w:rFonts w:hint="eastAsia" w:cs="宋体" w:asciiTheme="minorEastAsia" w:hAnsiTheme="minorEastAsia"/>
          <w:kern w:val="0"/>
          <w:szCs w:val="21"/>
          <w:lang w:val="en-US" w:eastAsia="zh-CN"/>
        </w:rPr>
      </w:pPr>
    </w:p>
    <w:p w14:paraId="54FDCED7">
      <w:pPr>
        <w:widowControl/>
        <w:spacing w:line="320" w:lineRule="exact"/>
        <w:ind w:left="-283" w:leftChars="-135" w:right="-199" w:rightChars="-95" w:firstLine="163" w:firstLineChars="78"/>
      </w:pP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0AF49C12">
      <w:pPr>
        <w:widowControl/>
        <w:spacing w:line="320" w:lineRule="exact"/>
        <w:ind w:left="-283" w:leftChars="-135" w:right="-199" w:rightChars="-95" w:firstLine="163" w:firstLineChars="78"/>
        <w:rPr>
          <w:rFonts w:asciiTheme="minorEastAsia" w:hAnsiTheme="minorEastAsia"/>
          <w:kern w:val="0"/>
          <w:szCs w:val="21"/>
        </w:rPr>
      </w:pPr>
    </w:p>
    <w:p w14:paraId="3E3398D6">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2475C32D">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29CAF512">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027FFCCF">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lang w:val="en-US" w:eastAsia="zh-CN"/>
        </w:rPr>
        <w:t xml:space="preserve">  </w:t>
      </w:r>
      <w:r>
        <w:rPr>
          <w:rFonts w:hint="eastAsia" w:ascii="Times New Roman" w:hAnsi="Times New Roman" w:eastAsia="宋体" w:cs="Times New Roman"/>
          <w:szCs w:val="21"/>
        </w:rPr>
        <w:t>202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45CCF766">
      <w:pPr>
        <w:widowControl/>
        <w:snapToGrid w:val="0"/>
        <w:spacing w:line="360" w:lineRule="exact"/>
        <w:ind w:right="-199" w:rightChars="-95"/>
        <w:jc w:val="both"/>
        <w:rPr>
          <w:rFonts w:ascii="方正小标宋简体" w:eastAsia="方正小标宋简体" w:cs="微软简标宋"/>
          <w:bCs/>
          <w:color w:val="auto"/>
          <w:sz w:val="36"/>
          <w:szCs w:val="36"/>
          <w:highlight w:val="none"/>
        </w:rPr>
      </w:pPr>
      <w:r>
        <w:rPr>
          <w:rFonts w:cs="宋体" w:asciiTheme="minorEastAsia" w:hAnsiTheme="minorEastAsia"/>
          <w:color w:val="auto"/>
          <w:kern w:val="0"/>
          <w:szCs w:val="21"/>
          <w:highlight w:val="none"/>
        </w:rPr>
        <w:t xml:space="preserve">                              </w:t>
      </w:r>
    </w:p>
    <w:p w14:paraId="7EFF4AD8">
      <w:pPr>
        <w:pStyle w:val="2"/>
        <w:rPr>
          <w:rFonts w:hint="eastAsia" w:cs="宋体" w:asciiTheme="minorEastAsia" w:hAnsiTheme="minorEastAsia"/>
          <w:kern w:val="0"/>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简标宋">
    <w:panose1 w:val="00000000000000000000"/>
    <w:charset w:val="86"/>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F04728"/>
    <w:rsid w:val="06C6367B"/>
    <w:rsid w:val="0FBD20AF"/>
    <w:rsid w:val="19654414"/>
    <w:rsid w:val="1AA01EDA"/>
    <w:rsid w:val="1D121820"/>
    <w:rsid w:val="20E70900"/>
    <w:rsid w:val="29DA7AF8"/>
    <w:rsid w:val="3E185F67"/>
    <w:rsid w:val="3F36080E"/>
    <w:rsid w:val="45676FF6"/>
    <w:rsid w:val="49884C4F"/>
    <w:rsid w:val="57F04728"/>
    <w:rsid w:val="781E0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napToGrid w:val="0"/>
      <w:spacing w:line="300" w:lineRule="auto"/>
      <w:ind w:firstLine="556"/>
    </w:pPr>
    <w:rPr>
      <w:rFonts w:ascii="仿宋_GB2312" w:hAnsi="Times New Roman" w:eastAsia="仿宋_GB2312" w:cs="Times New Roman"/>
      <w:kern w:val="0"/>
      <w:szCs w:val="20"/>
    </w:rPr>
  </w:style>
  <w:style w:type="character" w:styleId="5">
    <w:name w:val="Hyperlink"/>
    <w:basedOn w:val="4"/>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3787</Words>
  <Characters>3833</Characters>
  <Lines>0</Lines>
  <Paragraphs>0</Paragraphs>
  <TotalTime>16</TotalTime>
  <ScaleCrop>false</ScaleCrop>
  <LinksUpToDate>false</LinksUpToDate>
  <CharactersWithSpaces>4087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2025-01-22T02:07:00Z</dcterms:created>
  <dc:creator>裴一嫚</dc:creator>
  <cp:lastModifiedBy>刘轶伦</cp:lastModifiedBy>
  <dcterms:modified xsi:type="dcterms:W3CDTF">2026-07-01T08:28:58Z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0743884A9DA64E4FAEA8C7EF91D3F563_13</vt:lpwstr>
  </property>
  <property fmtid="{D5CDD505-2E9C-101B-9397-08002B2CF9AE}" pid="4" name="KSOTemplateDocerSaveRecord">
    <vt:lpwstr>eyJoZGlkIjoiMzY1MjFhM2ZlZmU4ODUzYzkxYWE1ODIxMWVlN2ZjZTUiLCJ1c2VySWQiOiIxNDc4MDUxNzY1In0=</vt:lpwstr>
  </property>
</Properties>
</file>