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Fonts w:hint="eastAsia" w:cs="宋体" w:asciiTheme="minorEastAsia" w:hAnsiTheme="minorEastAsia"/>
          <w:color w:val="000000" w:themeColor="text1"/>
          <w:kern w:val="0"/>
          <w:szCs w:val="21"/>
          <w:u w:val="single"/>
          <w:lang w:val="en-US" w:eastAsia="zh-CN"/>
          <w14:textFill>
            <w14:solidFill>
              <w14:schemeClr w14:val="tx1"/>
            </w14:solidFill>
          </w14:textFill>
        </w:rPr>
        <w:t>专项资产（LS-202412）</w:t>
      </w:r>
      <w:r>
        <w:rPr>
          <w:rFonts w:hint="eastAsia" w:cs="宋体" w:asciiTheme="minorEastAsia" w:hAnsiTheme="minorEastAsia"/>
          <w:color w:val="000000" w:themeColor="text1"/>
          <w:kern w:val="0"/>
          <w:szCs w:val="21"/>
          <w14:textFill>
            <w14:solidFill>
              <w14:schemeClr w14:val="tx1"/>
            </w14:solidFill>
          </w14:textFill>
        </w:rPr>
        <w:t>项目的申请，现依照诚实守信的原则，就参与本项目网络竞价（含动态报价）活动做出如下承诺：</w:t>
      </w:r>
    </w:p>
    <w:p>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2"/>
          <w:rFonts w:cs="宋体" w:asciiTheme="minorEastAsia" w:hAnsiTheme="minorEastAsia"/>
          <w:color w:val="auto"/>
          <w:kern w:val="0"/>
          <w:szCs w:val="21"/>
          <w:highlight w:val="none"/>
        </w:rPr>
        <w:t>www.sdcqjy.com</w:t>
      </w:r>
      <w:r>
        <w:rPr>
          <w:rStyle w:val="12"/>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cs="宋体" w:asciiTheme="minorEastAsia" w:hAnsiTheme="minorEastAsia"/>
          <w:color w:val="auto"/>
          <w:kern w:val="0"/>
          <w:szCs w:val="21"/>
          <w:highlight w:val="none"/>
        </w:rPr>
        <w:t>采取协议方式组织交易；</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中心采取竞价方式组织交易。</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五、意向受让方应于挂牌截止日17时前交纳本项目保证金到</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指定账户（以</w:t>
      </w:r>
      <w:r>
        <w:rPr>
          <w:rFonts w:hint="eastAsia" w:cs="宋体" w:asciiTheme="minorEastAsia" w:hAnsiTheme="minorEastAsia"/>
          <w:color w:val="auto"/>
          <w:kern w:val="0"/>
          <w:szCs w:val="21"/>
          <w:highlight w:val="none"/>
          <w:lang w:eastAsia="zh-CN"/>
        </w:rPr>
        <w:t>系统保证金支付状态为已支付</w:t>
      </w:r>
      <w:r>
        <w:rPr>
          <w:rFonts w:hint="eastAsia" w:cs="宋体" w:asciiTheme="minorEastAsia" w:hAnsiTheme="minorEastAsia"/>
          <w:color w:val="auto"/>
          <w:kern w:val="0"/>
          <w:szCs w:val="21"/>
          <w:highlight w:val="none"/>
        </w:rPr>
        <w:t>为准），保证金未按规定时间到账的，视为放弃受让资格。本项目保证金金额详见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p>
    <w:p>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pPr>
        <w:adjustRightInd w:val="0"/>
        <w:snapToGrid w:val="0"/>
        <w:spacing w:line="360" w:lineRule="exact"/>
        <w:ind w:firstLine="420" w:firstLineChars="200"/>
        <w:jc w:val="left"/>
        <w:rPr>
          <w:rFonts w:cs="宋体" w:asciiTheme="minorEastAsia" w:hAnsiTheme="minorEastAsia"/>
          <w:color w:val="auto"/>
          <w:kern w:val="0"/>
          <w:szCs w:val="21"/>
          <w:highlight w:val="none"/>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，产生两个及以上符合条件的意向受让方的，意向受让方须参与后续竞价程序。</w:t>
      </w:r>
    </w:p>
    <w:p>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pPr>
        <w:numPr>
          <w:ilvl w:val="0"/>
          <w:numId w:val="1"/>
        </w:numPr>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szCs w:val="21"/>
          <w:highlight w:val="none"/>
        </w:rPr>
        <w:t>项目存在优先购买权人的，优先购买权人在满足同等条件的前提下，可在网络竞价过程中按照其他竞买人的报价即时行权。</w:t>
      </w:r>
      <w:r>
        <w:rPr>
          <w:rFonts w:hint="eastAsia" w:ascii="宋体" w:hAnsi="宋体" w:eastAsia="宋体" w:cs="Times New Roman"/>
          <w:color w:val="auto"/>
          <w:kern w:val="0"/>
          <w:szCs w:val="21"/>
          <w:highlight w:val="none"/>
        </w:rPr>
        <w:t>报价时间截止，按照“价格优先、优先购买权人优先”的原则，自动判断最高有效报价的竞买人为买受人。</w:t>
      </w:r>
      <w:r>
        <w:rPr>
          <w:rFonts w:hint="eastAsia" w:ascii="宋体" w:hAnsi="宋体" w:eastAsia="宋体" w:cs="Times New Roman"/>
          <w:color w:val="auto"/>
          <w:kern w:val="0"/>
          <w:szCs w:val="21"/>
          <w:highlight w:val="none"/>
          <w:lang w:val="en-US" w:eastAsia="zh-CN"/>
        </w:rPr>
        <w:t>优先购买权行使方式详见《企业国有产权交易优先购买权行使操作规则》。</w:t>
      </w:r>
    </w:p>
    <w:p>
      <w:pPr>
        <w:spacing w:line="360" w:lineRule="exact"/>
        <w:ind w:right="-199" w:rightChars="-95"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rPr>
        <w:t>十</w:t>
      </w:r>
      <w:r>
        <w:rPr>
          <w:rFonts w:hint="eastAsia" w:ascii="宋体" w:hAnsi="宋体" w:eastAsia="宋体" w:cs="Times New Roman"/>
          <w:color w:val="auto"/>
          <w:szCs w:val="21"/>
          <w:highlight w:val="none"/>
          <w:lang w:val="en-US" w:eastAsia="zh-CN"/>
        </w:rPr>
        <w:t>三</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根据交易规则确定受让方后，向受让方出具《结果通知单》</w:t>
      </w:r>
      <w:r>
        <w:rPr>
          <w:rFonts w:hint="eastAsia" w:ascii="宋体" w:hAnsi="宋体" w:eastAsia="宋体" w:cs="Times New Roman"/>
          <w:color w:val="auto"/>
          <w:szCs w:val="21"/>
          <w:highlight w:val="none"/>
          <w:lang w:eastAsia="zh-CN"/>
        </w:rPr>
        <w:t>。</w:t>
      </w:r>
    </w:p>
    <w:p>
      <w:pPr>
        <w:numPr>
          <w:ilvl w:val="-1"/>
          <w:numId w:val="0"/>
        </w:numPr>
        <w:adjustRightInd w:val="0"/>
        <w:snapToGrid w:val="0"/>
        <w:spacing w:after="120" w:line="400" w:lineRule="exact"/>
        <w:ind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rPr>
        <w:t>受让方在收到《结果通知单》</w:t>
      </w:r>
      <w:r>
        <w:rPr>
          <w:rFonts w:hint="eastAsia" w:ascii="宋体" w:hAnsi="宋体" w:eastAsia="宋体" w:cs="Times New Roman"/>
          <w:color w:val="auto"/>
          <w:szCs w:val="21"/>
          <w:highlight w:val="none"/>
          <w:lang w:eastAsia="zh-CN"/>
        </w:rPr>
        <w:t>之日起5个工作日内支付应付交易价款及交易费用至产权中心指定账户，交易费用按照</w:t>
      </w:r>
      <w:r>
        <w:rPr>
          <w:rFonts w:hint="eastAsia" w:ascii="宋体" w:hAnsi="宋体" w:eastAsia="宋体" w:cs="Times New Roman"/>
          <w:color w:val="auto"/>
          <w:szCs w:val="21"/>
          <w:highlight w:val="none"/>
          <w:lang w:val="en-US" w:eastAsia="zh-CN"/>
        </w:rPr>
        <w:t>交易额的</w:t>
      </w:r>
      <w:bookmarkStart w:id="0" w:name="_GoBack"/>
      <w:bookmarkEnd w:id="0"/>
      <w:r>
        <w:rPr>
          <w:rFonts w:hint="eastAsia" w:ascii="宋体" w:hAnsi="宋体" w:eastAsia="宋体" w:cs="Times New Roman"/>
          <w:color w:val="auto"/>
          <w:szCs w:val="21"/>
          <w:highlight w:val="none"/>
          <w:lang w:val="en-US" w:eastAsia="zh-CN"/>
        </w:rPr>
        <w:t>5%</w:t>
      </w:r>
      <w:r>
        <w:rPr>
          <w:rFonts w:hint="eastAsia" w:ascii="宋体" w:hAnsi="宋体" w:eastAsia="宋体" w:cs="Times New Roman"/>
          <w:color w:val="auto"/>
          <w:szCs w:val="21"/>
          <w:highlight w:val="none"/>
          <w:lang w:eastAsia="zh-CN"/>
        </w:rPr>
        <w:t>交纳</w:t>
      </w:r>
      <w:r>
        <w:rPr>
          <w:rFonts w:hint="eastAsia" w:ascii="宋体" w:hAnsi="宋体" w:eastAsia="宋体" w:cs="Times New Roman"/>
          <w:color w:val="auto"/>
          <w:szCs w:val="21"/>
          <w:highlight w:val="none"/>
          <w:lang w:val="en-US" w:eastAsia="zh-CN"/>
        </w:rPr>
        <w:t>。</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四</w:t>
      </w:r>
      <w:r>
        <w:rPr>
          <w:rFonts w:hint="eastAsia" w:cs="宋体" w:asciiTheme="minorEastAsia" w:hAnsiTheme="minorEastAsia"/>
          <w:color w:val="auto"/>
          <w:kern w:val="0"/>
          <w:szCs w:val="21"/>
          <w:highlight w:val="none"/>
        </w:rPr>
        <w:t>、受让方的保证金转为履约保证金。未购买成功且无违约责任的意向受让方，</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于确定受让方后2个工作日内将其保证金无息退还。</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4、根据《山东产权交易中心竞价现场管理规定（暂行）》无法正常组织网络竞价的；</w:t>
      </w:r>
    </w:p>
    <w:p>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pPr>
        <w:widowControl/>
        <w:spacing w:line="320" w:lineRule="exact"/>
        <w:ind w:left="-283" w:leftChars="-135" w:right="-199" w:rightChars="-95" w:firstLine="163" w:firstLineChars="78"/>
        <w:rPr>
          <w:rFonts w:asciiTheme="minorEastAsia" w:hAnsiTheme="minorEastAsia"/>
          <w:kern w:val="0"/>
          <w:szCs w:val="21"/>
        </w:rPr>
      </w:pPr>
    </w:p>
    <w:p>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cxMzA5ZmMyYjQ1NmQyMmEwYjA5NjY3OGJkNGZmODA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A22796E"/>
    <w:rsid w:val="0B2842C7"/>
    <w:rsid w:val="0B5D39B7"/>
    <w:rsid w:val="0C2D1003"/>
    <w:rsid w:val="0C741827"/>
    <w:rsid w:val="0CB02467"/>
    <w:rsid w:val="0D471B4E"/>
    <w:rsid w:val="0E034D80"/>
    <w:rsid w:val="0EF44F7D"/>
    <w:rsid w:val="0F35708A"/>
    <w:rsid w:val="0FDC2AC7"/>
    <w:rsid w:val="112B4874"/>
    <w:rsid w:val="11501FDA"/>
    <w:rsid w:val="13AF388A"/>
    <w:rsid w:val="13ED28B7"/>
    <w:rsid w:val="168B425A"/>
    <w:rsid w:val="16C45343"/>
    <w:rsid w:val="17013C0B"/>
    <w:rsid w:val="174A5679"/>
    <w:rsid w:val="177858BB"/>
    <w:rsid w:val="17B44C75"/>
    <w:rsid w:val="1D4E0CEB"/>
    <w:rsid w:val="1E064AD3"/>
    <w:rsid w:val="1FE509E1"/>
    <w:rsid w:val="20892574"/>
    <w:rsid w:val="22777C19"/>
    <w:rsid w:val="25550BE1"/>
    <w:rsid w:val="285A1A45"/>
    <w:rsid w:val="28CD0786"/>
    <w:rsid w:val="28DC570E"/>
    <w:rsid w:val="2AAB69FD"/>
    <w:rsid w:val="2CE34BB3"/>
    <w:rsid w:val="2E83269A"/>
    <w:rsid w:val="2F1D48C1"/>
    <w:rsid w:val="2F6B36F7"/>
    <w:rsid w:val="305A69BA"/>
    <w:rsid w:val="30D0446A"/>
    <w:rsid w:val="31387F55"/>
    <w:rsid w:val="31987378"/>
    <w:rsid w:val="31B51441"/>
    <w:rsid w:val="32D62C02"/>
    <w:rsid w:val="37B47B69"/>
    <w:rsid w:val="391852B3"/>
    <w:rsid w:val="39EB7DA1"/>
    <w:rsid w:val="3B0F67E3"/>
    <w:rsid w:val="3B2F0785"/>
    <w:rsid w:val="3B7261A2"/>
    <w:rsid w:val="3BCA26B2"/>
    <w:rsid w:val="3D5A2677"/>
    <w:rsid w:val="3E3437B7"/>
    <w:rsid w:val="40E92B8C"/>
    <w:rsid w:val="41296F7D"/>
    <w:rsid w:val="41EA407A"/>
    <w:rsid w:val="44CD7D2F"/>
    <w:rsid w:val="461126B7"/>
    <w:rsid w:val="473012A4"/>
    <w:rsid w:val="49D224B3"/>
    <w:rsid w:val="4AF42C45"/>
    <w:rsid w:val="4B2A3500"/>
    <w:rsid w:val="4B82728F"/>
    <w:rsid w:val="4BA0201A"/>
    <w:rsid w:val="4C130BC6"/>
    <w:rsid w:val="4D35472E"/>
    <w:rsid w:val="4E9140C1"/>
    <w:rsid w:val="4E92230C"/>
    <w:rsid w:val="4F7C3164"/>
    <w:rsid w:val="512B50B0"/>
    <w:rsid w:val="516A3F49"/>
    <w:rsid w:val="51B21172"/>
    <w:rsid w:val="52503972"/>
    <w:rsid w:val="538954A7"/>
    <w:rsid w:val="53CA11E5"/>
    <w:rsid w:val="544F0B55"/>
    <w:rsid w:val="57872B8F"/>
    <w:rsid w:val="58D9012E"/>
    <w:rsid w:val="592041D4"/>
    <w:rsid w:val="5B2E79B9"/>
    <w:rsid w:val="5BB147B7"/>
    <w:rsid w:val="60110131"/>
    <w:rsid w:val="60EA743F"/>
    <w:rsid w:val="64004BDA"/>
    <w:rsid w:val="64765C25"/>
    <w:rsid w:val="64846F95"/>
    <w:rsid w:val="65305110"/>
    <w:rsid w:val="670A5267"/>
    <w:rsid w:val="6B065FBA"/>
    <w:rsid w:val="6D2B51D5"/>
    <w:rsid w:val="6E886A1C"/>
    <w:rsid w:val="6E8F6B1F"/>
    <w:rsid w:val="6ED07EE6"/>
    <w:rsid w:val="72A44A1F"/>
    <w:rsid w:val="745F3BFC"/>
    <w:rsid w:val="78AE17AF"/>
    <w:rsid w:val="78BE37C7"/>
    <w:rsid w:val="796B5106"/>
    <w:rsid w:val="7A081859"/>
    <w:rsid w:val="7A506D6A"/>
    <w:rsid w:val="7A8A3874"/>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autoRedefine/>
    <w:qFormat/>
    <w:uiPriority w:val="0"/>
    <w:pPr>
      <w:keepNext/>
      <w:keepLines/>
      <w:spacing w:after="120"/>
      <w:outlineLvl w:val="0"/>
    </w:pPr>
    <w:rPr>
      <w:rFonts w:eastAsia="黑体"/>
      <w:b/>
      <w:bCs/>
      <w:kern w:val="44"/>
      <w:szCs w:val="44"/>
    </w:rPr>
  </w:style>
  <w:style w:type="paragraph" w:styleId="3">
    <w:name w:val="heading 3"/>
    <w:basedOn w:val="1"/>
    <w:next w:val="1"/>
    <w:link w:val="23"/>
    <w:unhideWhenUsed/>
    <w:qFormat/>
    <w:uiPriority w:val="9"/>
    <w:pPr>
      <w:keepNext/>
      <w:keepLines/>
      <w:spacing w:before="260" w:after="260" w:line="416" w:lineRule="auto"/>
      <w:outlineLvl w:val="2"/>
    </w:pPr>
    <w:rPr>
      <w:b/>
      <w:bCs/>
      <w:sz w:val="32"/>
      <w:szCs w:val="32"/>
    </w:rPr>
  </w:style>
  <w:style w:type="character" w:default="1" w:styleId="11">
    <w:name w:val="Default Paragraph Font"/>
    <w:unhideWhenUsed/>
    <w:qFormat/>
    <w:uiPriority w:val="1"/>
  </w:style>
  <w:style w:type="table" w:default="1" w:styleId="10">
    <w:name w:val="Normal Table"/>
    <w:autoRedefine/>
    <w:unhideWhenUsed/>
    <w:qFormat/>
    <w:uiPriority w:val="99"/>
    <w:tblPr>
      <w:tblCellMar>
        <w:top w:w="0" w:type="dxa"/>
        <w:left w:w="108" w:type="dxa"/>
        <w:bottom w:w="0" w:type="dxa"/>
        <w:right w:w="108" w:type="dxa"/>
      </w:tblCellMar>
    </w:tblPr>
  </w:style>
  <w:style w:type="paragraph" w:styleId="4">
    <w:name w:val="annotation text"/>
    <w:basedOn w:val="1"/>
    <w:link w:val="19"/>
    <w:autoRedefine/>
    <w:unhideWhenUsed/>
    <w:qFormat/>
    <w:uiPriority w:val="99"/>
    <w:pPr>
      <w:jc w:val="left"/>
    </w:pPr>
  </w:style>
  <w:style w:type="paragraph" w:styleId="5">
    <w:name w:val="Balloon Text"/>
    <w:basedOn w:val="1"/>
    <w:link w:val="21"/>
    <w:autoRedefine/>
    <w:unhideWhenUsed/>
    <w:qFormat/>
    <w:uiPriority w:val="99"/>
    <w:rPr>
      <w:sz w:val="18"/>
      <w:szCs w:val="18"/>
    </w:rPr>
  </w:style>
  <w:style w:type="paragraph" w:styleId="6">
    <w:name w:val="footer"/>
    <w:basedOn w:val="1"/>
    <w:link w:val="18"/>
    <w:autoRedefine/>
    <w:unhideWhenUsed/>
    <w:qFormat/>
    <w:uiPriority w:val="99"/>
    <w:pPr>
      <w:tabs>
        <w:tab w:val="center" w:pos="4153"/>
        <w:tab w:val="right" w:pos="8306"/>
      </w:tabs>
      <w:snapToGrid w:val="0"/>
      <w:jc w:val="left"/>
    </w:pPr>
    <w:rPr>
      <w:sz w:val="18"/>
      <w:szCs w:val="18"/>
    </w:rPr>
  </w:style>
  <w:style w:type="paragraph" w:styleId="7">
    <w:name w:val="header"/>
    <w:basedOn w:val="1"/>
    <w:link w:val="1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6"/>
    <w:autoRedefine/>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0"/>
    <w:unhideWhenUsed/>
    <w:qFormat/>
    <w:uiPriority w:val="99"/>
    <w:rPr>
      <w:b/>
      <w:bCs/>
    </w:rPr>
  </w:style>
  <w:style w:type="character" w:styleId="12">
    <w:name w:val="Hyperlink"/>
    <w:basedOn w:val="11"/>
    <w:autoRedefine/>
    <w:unhideWhenUsed/>
    <w:qFormat/>
    <w:uiPriority w:val="99"/>
    <w:rPr>
      <w:color w:val="0563C1" w:themeColor="hyperlink"/>
      <w:u w:val="single"/>
      <w14:textFill>
        <w14:solidFill>
          <w14:schemeClr w14:val="hlink"/>
        </w14:solidFill>
      </w14:textFill>
    </w:rPr>
  </w:style>
  <w:style w:type="character" w:styleId="13">
    <w:name w:val="annotation reference"/>
    <w:basedOn w:val="11"/>
    <w:autoRedefine/>
    <w:unhideWhenUsed/>
    <w:qFormat/>
    <w:uiPriority w:val="99"/>
    <w:rPr>
      <w:sz w:val="21"/>
      <w:szCs w:val="21"/>
    </w:rPr>
  </w:style>
  <w:style w:type="character" w:customStyle="1" w:styleId="14">
    <w:name w:val="标题 1 Char"/>
    <w:basedOn w:val="11"/>
    <w:link w:val="2"/>
    <w:autoRedefine/>
    <w:qFormat/>
    <w:uiPriority w:val="0"/>
    <w:rPr>
      <w:rFonts w:eastAsia="黑体"/>
      <w:b/>
      <w:bCs/>
      <w:kern w:val="44"/>
      <w:sz w:val="32"/>
      <w:szCs w:val="44"/>
    </w:rPr>
  </w:style>
  <w:style w:type="paragraph" w:customStyle="1" w:styleId="15">
    <w:name w:val="小小标题"/>
    <w:basedOn w:val="2"/>
    <w:autoRedefine/>
    <w:qFormat/>
    <w:uiPriority w:val="0"/>
    <w:pPr>
      <w:ind w:firstLine="640"/>
    </w:pPr>
    <w:rPr>
      <w:rFonts w:ascii="Times New Roman" w:hAnsi="Times New Roman" w:eastAsia="楷体_GB2312" w:cs="Times New Roman"/>
    </w:rPr>
  </w:style>
  <w:style w:type="character" w:customStyle="1" w:styleId="16">
    <w:name w:val="标题 Char"/>
    <w:basedOn w:val="11"/>
    <w:link w:val="8"/>
    <w:autoRedefine/>
    <w:qFormat/>
    <w:uiPriority w:val="0"/>
    <w:rPr>
      <w:rFonts w:eastAsia="方正小标宋简体" w:asciiTheme="majorHAnsi" w:hAnsiTheme="majorHAnsi" w:cstheme="majorBidi"/>
      <w:kern w:val="44"/>
      <w:sz w:val="44"/>
      <w:szCs w:val="32"/>
    </w:rPr>
  </w:style>
  <w:style w:type="character" w:customStyle="1" w:styleId="17">
    <w:name w:val="页眉 Char"/>
    <w:basedOn w:val="11"/>
    <w:link w:val="7"/>
    <w:autoRedefine/>
    <w:qFormat/>
    <w:uiPriority w:val="99"/>
    <w:rPr>
      <w:sz w:val="18"/>
      <w:szCs w:val="18"/>
    </w:rPr>
  </w:style>
  <w:style w:type="character" w:customStyle="1" w:styleId="18">
    <w:name w:val="页脚 Char"/>
    <w:basedOn w:val="11"/>
    <w:link w:val="6"/>
    <w:autoRedefine/>
    <w:qFormat/>
    <w:uiPriority w:val="99"/>
    <w:rPr>
      <w:sz w:val="18"/>
      <w:szCs w:val="18"/>
    </w:rPr>
  </w:style>
  <w:style w:type="character" w:customStyle="1" w:styleId="19">
    <w:name w:val="批注文字 Char"/>
    <w:basedOn w:val="11"/>
    <w:link w:val="4"/>
    <w:autoRedefine/>
    <w:semiHidden/>
    <w:qFormat/>
    <w:uiPriority w:val="99"/>
  </w:style>
  <w:style w:type="character" w:customStyle="1" w:styleId="20">
    <w:name w:val="批注主题 Char"/>
    <w:basedOn w:val="19"/>
    <w:link w:val="9"/>
    <w:autoRedefine/>
    <w:semiHidden/>
    <w:qFormat/>
    <w:uiPriority w:val="99"/>
    <w:rPr>
      <w:b/>
      <w:bCs/>
    </w:rPr>
  </w:style>
  <w:style w:type="character" w:customStyle="1" w:styleId="21">
    <w:name w:val="批注框文本 Char"/>
    <w:basedOn w:val="11"/>
    <w:link w:val="5"/>
    <w:autoRedefine/>
    <w:semiHidden/>
    <w:qFormat/>
    <w:uiPriority w:val="99"/>
    <w:rPr>
      <w:sz w:val="18"/>
      <w:szCs w:val="18"/>
    </w:rPr>
  </w:style>
  <w:style w:type="paragraph" w:customStyle="1" w:styleId="22">
    <w:name w:val="列出段落1"/>
    <w:basedOn w:val="1"/>
    <w:autoRedefine/>
    <w:qFormat/>
    <w:uiPriority w:val="34"/>
    <w:pPr>
      <w:ind w:firstLine="420" w:firstLineChars="200"/>
    </w:pPr>
  </w:style>
  <w:style w:type="character" w:customStyle="1" w:styleId="23">
    <w:name w:val="标题 3 Char"/>
    <w:basedOn w:val="11"/>
    <w:link w:val="3"/>
    <w:autoRedefine/>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4</Pages>
  <Words>4919</Words>
  <Characters>5075</Characters>
  <Lines>33</Lines>
  <Paragraphs>9</Paragraphs>
  <TotalTime>2</TotalTime>
  <ScaleCrop>false</ScaleCrop>
  <LinksUpToDate>false</LinksUpToDate>
  <CharactersWithSpaces>5127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刘荣鹤</cp:lastModifiedBy>
  <cp:lastPrinted>2019-06-18T01:35:00Z</cp:lastPrinted>
  <dcterms:modified xsi:type="dcterms:W3CDTF">2025-11-04T06:43:40Z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252CDF4390E047A5968938A3E691B910_13</vt:lpwstr>
  </property>
</Properties>
</file>