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66C58DE9">
      <w:pPr>
        <w:pStyle w:val="style0"/>
        <w:widowControl/>
        <w:snapToGrid w:val="false"/>
        <w:spacing w:lineRule="exact" w:line="560"/>
        <w:ind w:right="-199" w:rightChars="-95"/>
        <w:jc w:val="center"/>
        <w:rPr>
          <w:rFonts w:ascii="方正小标宋简体" w:cs="微软简标宋" w:eastAsia="方正小标宋简体"/>
          <w:bCs/>
          <w:sz w:val="36"/>
          <w:szCs w:val="36"/>
        </w:rPr>
      </w:pPr>
      <w:bookmarkStart w:id="0" w:name="_GoBack"/>
      <w:r>
        <w:rPr>
          <w:rFonts w:ascii="方正小标宋简体" w:cs="微软简标宋" w:eastAsia="方正小标宋简体" w:hint="eastAsia"/>
          <w:bCs/>
          <w:sz w:val="36"/>
          <w:szCs w:val="36"/>
        </w:rPr>
        <w:t>资产受让须知与承诺</w:t>
      </w:r>
    </w:p>
    <w:bookmarkEnd w:id="0"/>
    <w:p w14:paraId="1FEE6EBD">
      <w:pPr>
        <w:pStyle w:val="style0"/>
        <w:adjustRightInd w:val="false"/>
        <w:snapToGrid w:val="false"/>
        <w:spacing w:lineRule="exact" w:line="360"/>
        <w:ind w:right="-199" w:rightChars="-95" w:firstLine="422" w:firstLineChars="200"/>
        <w:rPr>
          <w:rFonts w:ascii="宋体" w:hAnsi="宋体"/>
          <w:b/>
          <w:kern w:val="0"/>
          <w:szCs w:val="21"/>
        </w:rPr>
      </w:pPr>
    </w:p>
    <w:p w14:paraId="5D19FE66">
      <w:pPr>
        <w:pStyle w:val="style0"/>
        <w:adjustRightInd w:val="false"/>
        <w:snapToGrid w:val="false"/>
        <w:spacing w:lineRule="exact" w:line="360"/>
        <w:ind w:right="-199" w:rightChars="-95" w:firstLine="422" w:firstLineChars="200"/>
        <w:rPr>
          <w:rFonts w:ascii="方正小标宋简体" w:cs="微软简标宋" w:eastAsia="方正小标宋简体"/>
          <w:bCs/>
          <w:sz w:val="36"/>
          <w:szCs w:val="36"/>
        </w:rPr>
      </w:pPr>
      <w:r>
        <w:rPr>
          <w:rFonts w:ascii="宋体" w:hAnsi="宋体" w:hint="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0B517701">
      <w:pPr>
        <w:pStyle w:val="style0"/>
        <w:widowControl/>
        <w:snapToGrid w:val="false"/>
        <w:spacing w:lineRule="exact" w:line="320"/>
        <w:ind w:right="-199" w:rightChars="-95"/>
        <w:jc w:val="left"/>
        <w:rPr>
          <w:rFonts w:ascii="宋体" w:cs="Times New Roman" w:eastAsia="宋体" w:hAnsi="宋体"/>
          <w:b/>
          <w:color w:val="000000"/>
          <w:kern w:val="0"/>
          <w:szCs w:val="21"/>
        </w:rPr>
      </w:pPr>
      <w:r>
        <w:rPr>
          <w:rFonts w:ascii="宋体" w:cs="宋体" w:hAnsi="宋体" w:hint="eastAsia"/>
          <w:color w:val="000000"/>
          <w:kern w:val="0"/>
          <w:szCs w:val="21"/>
        </w:rPr>
        <w:t>山东产权交易中心（以下简称“中心”）：</w:t>
      </w:r>
    </w:p>
    <w:p w14:paraId="3785848E">
      <w:pPr>
        <w:pStyle w:val="style0"/>
        <w:adjustRightInd w:val="false"/>
        <w:snapToGrid w:val="false"/>
        <w:spacing w:lineRule="exact" w:line="360"/>
        <w:ind w:right="-199" w:rightChars="-95" w:firstLine="420" w:firstLineChars="200"/>
        <w:rPr>
          <w:rFonts w:ascii="宋体" w:cs="宋体" w:hAnsi="宋体"/>
          <w:color w:val="000000"/>
          <w:kern w:val="0"/>
          <w:szCs w:val="21"/>
        </w:rPr>
      </w:pPr>
      <w:r>
        <w:rPr>
          <w:rFonts w:ascii="宋体" w:cs="宋体" w:hAnsi="宋体" w:hint="eastAsia"/>
          <w:color w:val="000000"/>
          <w:kern w:val="0"/>
          <w:szCs w:val="21"/>
        </w:rPr>
        <w:t>我方提出参与受让</w:t>
      </w:r>
      <w:r>
        <w:rPr>
          <w:rFonts w:ascii="宋体" w:cs="宋体" w:hAnsi="宋体" w:hint="eastAsia"/>
          <w:b/>
          <w:bCs/>
          <w:color w:val="000000"/>
          <w:kern w:val="0"/>
          <w:szCs w:val="21"/>
          <w:u w:val="single"/>
        </w:rPr>
        <w:t>湖州市红星美凯龙全球家居生活广场523套抵债资产项目</w:t>
      </w:r>
      <w:r>
        <w:rPr>
          <w:rFonts w:ascii="宋体" w:cs="宋体" w:hAnsi="宋体" w:hint="eastAsia"/>
          <w:color w:val="000000"/>
          <w:kern w:val="0"/>
          <w:szCs w:val="21"/>
        </w:rPr>
        <w:t>的申请，现依照诚实守信的原则，就参与本项目网络竞价（含动态报价）活动做出如下承诺：</w:t>
      </w:r>
    </w:p>
    <w:p w14:paraId="15774ECA">
      <w:pPr>
        <w:pStyle w:val="style0"/>
        <w:adjustRightInd w:val="false"/>
        <w:snapToGrid w:val="false"/>
        <w:spacing w:lineRule="exact" w:line="360"/>
        <w:ind w:right="-199" w:rightChars="-95" w:firstLine="420" w:firstLineChars="200"/>
        <w:rPr>
          <w:rFonts w:ascii="宋体" w:hAnsi="宋体"/>
          <w:szCs w:val="21"/>
        </w:rPr>
      </w:pPr>
      <w:r>
        <w:rPr>
          <w:rFonts w:ascii="宋体" w:cs="仿宋_GB2312" w:hAnsi="宋体" w:hint="eastAsia"/>
          <w:szCs w:val="21"/>
        </w:rPr>
        <w:t>一、本项目《资产受让须知与承诺》（以下简称“《须知》”）依据</w:t>
      </w:r>
      <w:r>
        <w:rPr>
          <w:rFonts w:ascii="宋体" w:cs="宋体" w:hAnsi="宋体" w:hint="eastAsia"/>
          <w:kern w:val="0"/>
          <w:szCs w:val="21"/>
        </w:rPr>
        <w:t>《山东产权交易中心企业国有资产转让业务操作规则》、《山东产权交易中心交易业务竞价组织管理办法</w:t>
      </w:r>
      <w:r>
        <w:rPr>
          <w:rFonts w:ascii="宋体" w:cs="宋体" w:eastAsia="宋体" w:hAnsi="宋体" w:hint="eastAsia"/>
          <w:kern w:val="0"/>
          <w:szCs w:val="21"/>
        </w:rPr>
        <w:t>》、</w:t>
      </w:r>
      <w:r>
        <w:rPr>
          <w:rFonts w:ascii="宋体" w:cs="宋体" w:hAnsi="宋体" w:hint="eastAsia"/>
          <w:kern w:val="0"/>
          <w:szCs w:val="21"/>
        </w:rPr>
        <w:t>《山东产权交易中心网络竞价实施办法》和《山东产权交易中心动态报价实施办法》制定</w:t>
      </w:r>
      <w:r>
        <w:rPr>
          <w:rFonts w:ascii="宋体" w:cs="仿宋_GB2312" w:hAnsi="宋体" w:hint="eastAsia"/>
          <w:szCs w:val="21"/>
        </w:rPr>
        <w:t>。适用于交易方式为网络竞价或动态报价的资产转让项目。</w:t>
      </w:r>
    </w:p>
    <w:p w14:paraId="1FE8D3F1">
      <w:pPr>
        <w:pStyle w:val="style0"/>
        <w:widowControl/>
        <w:spacing w:lineRule="exact" w:line="360"/>
        <w:ind w:right="-199" w:rightChars="-95" w:firstLine="411" w:firstLineChars="196"/>
        <w:rPr>
          <w:rFonts w:ascii="宋体" w:cs="宋体" w:hAnsi="宋体"/>
          <w:kern w:val="0"/>
          <w:szCs w:val="21"/>
        </w:rPr>
      </w:pPr>
      <w:r>
        <w:rPr>
          <w:rFonts w:ascii="宋体" w:cs="宋体" w:hAnsi="宋体" w:hint="eastAsia"/>
          <w:kern w:val="0"/>
          <w:szCs w:val="21"/>
        </w:rPr>
        <w:t>二、本项目通过转让公告（以下所指公告均以山东产权交易中心网站</w:t>
      </w:r>
      <w:r>
        <w:rPr>
          <w:rFonts w:ascii="宋体" w:cs="宋体" w:hAnsi="宋体" w:hint="eastAsia"/>
          <w:kern w:val="0"/>
          <w:szCs w:val="21"/>
          <w:u w:val="single"/>
        </w:rPr>
        <w:t xml:space="preserve"> </w:t>
      </w:r>
      <w:r>
        <w:rPr/>
        <w:fldChar w:fldCharType="begin"/>
      </w:r>
      <w:r>
        <w:instrText xml:space="preserve"> HYPERLINK "http://www.sdcqjy.com" </w:instrText>
      </w:r>
      <w:r>
        <w:rPr/>
        <w:fldChar w:fldCharType="separate"/>
      </w:r>
      <w:r>
        <w:rPr>
          <w:rStyle w:val="style85"/>
          <w:rFonts w:ascii="宋体" w:cs="宋体" w:hAnsi="宋体"/>
          <w:color w:val="auto"/>
          <w:kern w:val="0"/>
          <w:szCs w:val="21"/>
        </w:rPr>
        <w:t>www.sdcqjy.com</w:t>
      </w:r>
      <w:r>
        <w:rPr>
          <w:rStyle w:val="style85"/>
          <w:rFonts w:ascii="宋体" w:cs="宋体" w:hAnsi="宋体"/>
          <w:color w:val="auto"/>
          <w:kern w:val="0"/>
          <w:szCs w:val="21"/>
        </w:rPr>
        <w:fldChar w:fldCharType="end"/>
      </w:r>
      <w:r>
        <w:rPr>
          <w:rStyle w:val="style85"/>
          <w:rFonts w:ascii="宋体" w:cs="宋体" w:hAnsi="宋体" w:hint="eastAsia"/>
          <w:color w:val="auto"/>
          <w:kern w:val="0"/>
          <w:szCs w:val="21"/>
        </w:rPr>
        <w:t xml:space="preserve"> </w:t>
      </w:r>
      <w:r>
        <w:rPr>
          <w:rFonts w:ascii="宋体" w:cs="宋体" w:hAnsi="宋体" w:hint="eastAsia"/>
          <w:kern w:val="0"/>
          <w:szCs w:val="21"/>
        </w:rPr>
        <w:t>披露内容为准）披露的交易方式确定受让方，本次网络竞价活动（含动态报价）由山东产权交易中心有限公司（以下简称“产权中心”）组织实施。公告</w:t>
      </w:r>
      <w:r>
        <w:rPr>
          <w:rFonts w:ascii="宋体" w:cs="宋体" w:hAnsi="宋体"/>
          <w:kern w:val="0"/>
          <w:szCs w:val="21"/>
        </w:rPr>
        <w:t>期满</w:t>
      </w:r>
      <w:r>
        <w:rPr>
          <w:rFonts w:ascii="宋体" w:cs="宋体" w:hAnsi="宋体" w:hint="eastAsia"/>
          <w:kern w:val="0"/>
          <w:szCs w:val="21"/>
        </w:rPr>
        <w:t>，</w:t>
      </w:r>
      <w:r>
        <w:rPr>
          <w:rFonts w:ascii="宋体" w:cs="宋体" w:hAnsi="宋体"/>
          <w:kern w:val="0"/>
          <w:szCs w:val="21"/>
        </w:rPr>
        <w:t>只产生一个符合条件的意向受让方的</w:t>
      </w:r>
      <w:r>
        <w:rPr>
          <w:rFonts w:ascii="宋体" w:cs="宋体" w:hAnsi="宋体" w:hint="eastAsia"/>
          <w:kern w:val="0"/>
          <w:szCs w:val="21"/>
        </w:rPr>
        <w:t>，产权中心</w:t>
      </w:r>
      <w:r>
        <w:rPr>
          <w:rFonts w:ascii="宋体" w:cs="宋体" w:hAnsi="宋体"/>
          <w:kern w:val="0"/>
          <w:szCs w:val="21"/>
        </w:rPr>
        <w:t>采取协议方式组织交易；</w:t>
      </w:r>
      <w:r>
        <w:rPr>
          <w:rFonts w:ascii="宋体" w:cs="宋体" w:hAnsi="宋体" w:hint="eastAsia"/>
          <w:kern w:val="0"/>
          <w:szCs w:val="21"/>
        </w:rPr>
        <w:t>产生两个及以上符合条件的意向受让方的，产权中心采取竞价方式组织交易。</w:t>
      </w:r>
    </w:p>
    <w:p w14:paraId="3E60E8F7">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ascii="宋体" w:cs="宋体" w:eastAsia="宋体" w:hAnsi="宋体" w:hint="eastAsia"/>
          <w:kern w:val="0"/>
          <w:szCs w:val="21"/>
        </w:rPr>
        <w:t>》、</w:t>
      </w:r>
      <w:r>
        <w:rPr>
          <w:rFonts w:ascii="宋体" w:cs="宋体" w:hAnsi="宋体" w:hint="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31C21FB8">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四、意向受让方应按公告要求的有效报名时间段内</w:t>
      </w:r>
      <w:r>
        <w:rPr>
          <w:rFonts w:ascii="宋体" w:cs="宋体" w:hAnsi="宋体" w:hint="eastAsia"/>
          <w:kern w:val="0"/>
          <w:szCs w:val="21"/>
          <w:lang w:eastAsia="zh-CN"/>
        </w:rPr>
        <w:t>自行或</w:t>
      </w:r>
      <w:r>
        <w:rPr>
          <w:rFonts w:ascii="宋体" w:cs="宋体" w:hAnsi="宋体" w:hint="eastAsia"/>
          <w:kern w:val="0"/>
          <w:szCs w:val="21"/>
        </w:rPr>
        <w:t>委托经纪机构</w:t>
      </w:r>
      <w:r>
        <w:rPr>
          <w:rFonts w:ascii="宋体" w:cs="宋体" w:hAnsi="宋体" w:hint="eastAsia"/>
          <w:kern w:val="0"/>
          <w:szCs w:val="21"/>
          <w:u w:val="single"/>
          <w:lang w:val="en-US" w:eastAsia="zh-CN"/>
        </w:rPr>
        <w:t xml:space="preserve">            </w:t>
      </w:r>
      <w:r>
        <w:rPr>
          <w:rFonts w:ascii="宋体" w:cs="宋体" w:hAnsi="宋体" w:hint="eastAsia"/>
          <w:kern w:val="0"/>
          <w:szCs w:val="21"/>
        </w:rPr>
        <w:t xml:space="preserve">办理报名登记手续，并按照公告的提示提交报名材料。 </w:t>
      </w:r>
      <w:r>
        <w:rPr>
          <w:rFonts w:ascii="宋体" w:cs="宋体" w:hAnsi="宋体"/>
          <w:kern w:val="0"/>
          <w:szCs w:val="21"/>
        </w:rPr>
        <w:t xml:space="preserve"> </w:t>
      </w:r>
      <w:r>
        <w:rPr>
          <w:rFonts w:ascii="微软雅黑" w:eastAsia="微软雅黑" w:hAnsi="微软雅黑" w:hint="eastAsia"/>
          <w:szCs w:val="21"/>
        </w:rPr>
        <w:t> </w:t>
      </w:r>
    </w:p>
    <w:p w14:paraId="59478CA4">
      <w:pPr>
        <w:pStyle w:val="style0"/>
        <w:widowControl/>
        <w:spacing w:lineRule="exact" w:line="320"/>
        <w:ind w:right="-199" w:rightChars="-95" w:firstLine="420" w:firstLineChars="200"/>
        <w:rPr>
          <w:rFonts w:ascii="宋体" w:cs="宋体" w:eastAsia="宋体" w:hAnsi="宋体"/>
          <w:b/>
          <w:bCs/>
          <w:color w:val="ff0000"/>
          <w:kern w:val="0"/>
          <w:szCs w:val="21"/>
        </w:rPr>
      </w:pPr>
      <w:r>
        <w:rPr>
          <w:rFonts w:ascii="宋体" w:cs="宋体" w:hAnsi="宋体" w:hint="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r>
        <w:rPr>
          <w:rFonts w:ascii="宋体" w:cs="宋体" w:eastAsia="宋体" w:hAnsi="宋体" w:hint="eastAsia"/>
          <w:b/>
          <w:bCs/>
          <w:kern w:val="0"/>
          <w:szCs w:val="21"/>
        </w:rPr>
        <w:t>如已缴纳保证金的意向受让方未按时参与摘牌、未提交必要材料、未支付必要费用；或虽参与摘牌程序，但未达摘牌材料要求；或摘牌材料中最低报价低于挂牌价格；或已完成摘牌程序，拒不履行缴纳尾款的，均视为摘牌无效，转让方有权扣收全部保证金。</w:t>
      </w:r>
    </w:p>
    <w:p w14:paraId="33CFB37D">
      <w:pPr>
        <w:pStyle w:val="style0"/>
        <w:adjustRightInd w:val="false"/>
        <w:snapToGrid w:val="false"/>
        <w:spacing w:lineRule="exact" w:line="360"/>
        <w:ind w:right="-199" w:rightChars="-95" w:firstLine="420" w:firstLineChars="200"/>
        <w:rPr>
          <w:rFonts w:ascii="宋体" w:cs="宋体" w:hAnsi="宋体"/>
          <w:kern w:val="0"/>
          <w:szCs w:val="21"/>
        </w:rPr>
      </w:pPr>
      <w:r>
        <w:rPr>
          <w:rFonts w:ascii="宋体" w:cs="宋体" w:hAnsi="宋体" w:hint="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44B51C9C">
      <w:pPr>
        <w:pStyle w:val="style0"/>
        <w:widowControl/>
        <w:adjustRightInd w:val="false"/>
        <w:snapToGrid w:val="false"/>
        <w:spacing w:lineRule="exact" w:line="360"/>
        <w:ind w:right="-199" w:rightChars="-95" w:firstLine="480"/>
        <w:rPr>
          <w:szCs w:val="21"/>
        </w:rPr>
      </w:pPr>
      <w:r>
        <w:rPr>
          <w:rFonts w:ascii="宋体" w:cs="宋体" w:hAnsi="宋体" w:hint="eastAsia"/>
          <w:kern w:val="0"/>
          <w:szCs w:val="21"/>
        </w:rPr>
        <w:t>七、本项目标的信息详情见公告披露信息。</w:t>
      </w:r>
      <w:r>
        <w:rPr>
          <w:rFonts w:ascii="宋体" w:hAnsi="宋体" w:hint="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3F7D1E41">
      <w:pPr>
        <w:pStyle w:val="style0"/>
        <w:spacing w:lineRule="exact" w:line="360"/>
        <w:ind w:firstLine="420" w:firstLineChars="200"/>
        <w:rPr>
          <w:szCs w:val="21"/>
        </w:rPr>
      </w:pPr>
      <w:r>
        <w:rPr>
          <w:rFonts w:ascii="宋体" w:hAnsi="宋体" w:hint="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5525534">
      <w:pPr>
        <w:pStyle w:val="style0"/>
        <w:widowControl/>
        <w:adjustRightInd w:val="false"/>
        <w:snapToGrid w:val="false"/>
        <w:spacing w:lineRule="exact" w:line="360"/>
        <w:ind w:right="-199" w:rightChars="-95" w:firstLine="480"/>
        <w:rPr>
          <w:rFonts w:ascii="宋体" w:hAnsi="宋体"/>
          <w:szCs w:val="21"/>
        </w:rPr>
      </w:pPr>
      <w:r>
        <w:rPr>
          <w:rFonts w:ascii="宋体" w:hAnsi="宋体" w:hint="eastAsia"/>
          <w:szCs w:val="21"/>
        </w:rPr>
        <w:t>九、意向受让方应当符合公告要求，同意本项目公告中与转让相关的其他条件。如因不符合公告要求对转让方及产权中心造成损失的，须承担违约责任。</w:t>
      </w:r>
    </w:p>
    <w:p w14:paraId="7CB0C1B6">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十、本项目公告截止日后，已完成报名手续的意向受让方，不得单方撤回报名。</w:t>
      </w:r>
    </w:p>
    <w:p w14:paraId="4648946F">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十一、意向受让方须同意以不低于转让底价（即挂牌价格）购买在产权中心公开挂牌转让的</w:t>
      </w:r>
      <w:r>
        <w:rPr>
          <w:rFonts w:ascii="宋体" w:cs="宋体" w:hAnsi="宋体" w:hint="eastAsia"/>
          <w:kern w:val="0"/>
          <w:szCs w:val="21"/>
          <w:u w:val="single"/>
        </w:rPr>
        <w:t>本</w:t>
      </w:r>
      <w:r>
        <w:rPr>
          <w:rFonts w:ascii="宋体" w:cs="宋体" w:hAnsi="宋体" w:hint="eastAsia"/>
          <w:kern w:val="0"/>
          <w:szCs w:val="21"/>
        </w:rPr>
        <w:t>项目。</w:t>
      </w:r>
    </w:p>
    <w:p w14:paraId="0F865A9C">
      <w:pPr>
        <w:pStyle w:val="style0"/>
        <w:widowControl/>
        <w:adjustRightInd w:val="false"/>
        <w:snapToGrid w:val="false"/>
        <w:spacing w:lineRule="atLeast" w:line="380"/>
        <w:ind w:right="-199" w:rightChars="-95" w:firstLine="490"/>
        <w:jc w:val="left"/>
        <w:rPr>
          <w:rFonts w:ascii="宋体" w:cs="宋体" w:hAnsi="宋体"/>
          <w:kern w:val="0"/>
          <w:szCs w:val="21"/>
        </w:rPr>
      </w:pPr>
      <w:r>
        <w:rPr>
          <w:rFonts w:ascii="宋体" w:cs="宋体" w:hAnsi="宋体" w:hint="eastAsia"/>
          <w:kern w:val="0"/>
          <w:szCs w:val="21"/>
        </w:rPr>
        <w:t>十二、竞价规则：</w:t>
      </w:r>
    </w:p>
    <w:p w14:paraId="5ABE82D9">
      <w:pPr>
        <w:pStyle w:val="style0"/>
        <w:adjustRightInd w:val="false"/>
        <w:snapToGrid w:val="false"/>
        <w:spacing w:lineRule="exact" w:line="360"/>
        <w:ind w:firstLine="420" w:firstLineChars="200"/>
        <w:jc w:val="left"/>
        <w:rPr>
          <w:rFonts w:ascii="宋体" w:cs="宋体" w:hAnsi="宋体"/>
          <w:kern w:val="0"/>
          <w:szCs w:val="21"/>
        </w:rPr>
      </w:pPr>
      <w:r>
        <w:rPr>
          <w:rFonts w:ascii="宋体" w:cs="仿宋_GB2312" w:eastAsia="宋体" w:hAnsi="宋体" w:hint="eastAsia"/>
          <w:szCs w:val="21"/>
        </w:rPr>
        <w:t>1、</w:t>
      </w:r>
      <w:r>
        <w:rPr>
          <w:rFonts w:ascii="宋体" w:cs="宋体" w:hAnsi="宋体" w:hint="eastAsia"/>
          <w:kern w:val="0"/>
          <w:szCs w:val="21"/>
        </w:rPr>
        <w:t>交易方式为网络竞价的，如公告</w:t>
      </w:r>
      <w:r>
        <w:rPr>
          <w:rFonts w:ascii="宋体" w:cs="宋体" w:hAnsi="宋体"/>
          <w:kern w:val="0"/>
          <w:szCs w:val="21"/>
        </w:rPr>
        <w:t>期满</w:t>
      </w:r>
      <w:r>
        <w:rPr>
          <w:rFonts w:ascii="宋体" w:cs="宋体" w:hAnsi="宋体" w:hint="eastAsia"/>
          <w:kern w:val="0"/>
          <w:szCs w:val="21"/>
        </w:rPr>
        <w:t>，产生两个及以上符合条件的意向受让方的，意向受让方须参与后续竞价程序。</w:t>
      </w:r>
    </w:p>
    <w:p w14:paraId="1A763AEB">
      <w:pPr>
        <w:pStyle w:val="style0"/>
        <w:adjustRightInd w:val="false"/>
        <w:snapToGrid w:val="false"/>
        <w:spacing w:lineRule="exact" w:line="360"/>
        <w:ind w:firstLine="420" w:firstLineChars="200"/>
        <w:jc w:val="left"/>
        <w:rPr>
          <w:rFonts w:ascii="宋体" w:cs="宋体" w:hAnsi="宋体"/>
          <w:b/>
          <w:bCs/>
          <w:kern w:val="0"/>
          <w:szCs w:val="21"/>
        </w:rPr>
      </w:pPr>
      <w:r>
        <w:rPr>
          <w:rFonts w:ascii="宋体" w:cs="宋体" w:hAnsi="宋体" w:hint="eastAsia"/>
          <w:kern w:val="0"/>
          <w:szCs w:val="21"/>
        </w:rPr>
        <w:t>竞价过程中以挂牌价格为起始价格，网络竞价开始时间及加价幅度另行通知。竞价过程由多个连续报价周期组成，</w:t>
      </w:r>
      <w:r>
        <w:rPr>
          <w:rFonts w:ascii="宋体" w:cs="宋体" w:hAnsi="宋体" w:hint="eastAsia"/>
          <w:b/>
          <w:bCs/>
          <w:kern w:val="0"/>
          <w:szCs w:val="21"/>
        </w:rPr>
        <w:t>每个报价周期为</w:t>
      </w:r>
      <w:r>
        <w:rPr>
          <w:rFonts w:ascii="宋体" w:cs="宋体" w:hAnsi="宋体" w:hint="eastAsia"/>
          <w:b/>
          <w:bCs/>
          <w:kern w:val="0"/>
          <w:szCs w:val="21"/>
          <w:lang w:val="en-US" w:eastAsia="zh-CN"/>
        </w:rPr>
        <w:t>3</w:t>
      </w:r>
      <w:r>
        <w:rPr>
          <w:rFonts w:ascii="宋体" w:cs="宋体" w:hAnsi="宋体" w:hint="eastAsia"/>
          <w:b/>
          <w:bCs/>
          <w:kern w:val="0"/>
          <w:szCs w:val="21"/>
        </w:rPr>
        <w:t xml:space="preserve">分钟（即 </w:t>
      </w:r>
      <w:r>
        <w:rPr>
          <w:rFonts w:ascii="宋体" w:cs="宋体" w:hAnsi="宋体" w:hint="eastAsia"/>
          <w:b/>
          <w:bCs/>
          <w:kern w:val="0"/>
          <w:szCs w:val="21"/>
          <w:lang w:val="en-US" w:eastAsia="zh-CN"/>
        </w:rPr>
        <w:t>180</w:t>
      </w:r>
      <w:r>
        <w:rPr>
          <w:rFonts w:ascii="宋体" w:cs="宋体" w:hAnsi="宋体" w:hint="eastAsia"/>
          <w:b/>
          <w:bCs/>
          <w:kern w:val="0"/>
          <w:szCs w:val="21"/>
        </w:rPr>
        <w:t>秒）</w:t>
      </w:r>
      <w:r>
        <w:rPr>
          <w:rFonts w:ascii="宋体" w:cs="宋体" w:hAnsi="宋体" w:hint="eastAsia"/>
          <w:kern w:val="0"/>
          <w:szCs w:val="21"/>
        </w:rPr>
        <w:t>。在每个报价周期内，如出现新的有效报价，则进入新的报价周期；在一个报价周期内如未出现新的有效报价，则当前有效报价方成为本次交易的受让方。</w:t>
      </w:r>
    </w:p>
    <w:p w14:paraId="293546D6">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网络竞价加价规则：</w:t>
      </w:r>
    </w:p>
    <w:p w14:paraId="59B9748A">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除对挂牌价格应价外，各竞买人每次加价不得低于加价幅度。</w:t>
      </w:r>
    </w:p>
    <w:p w14:paraId="04166945">
      <w:pPr>
        <w:pStyle w:val="style0"/>
        <w:numPr>
          <w:ilvl w:val="0"/>
          <w:numId w:val="1"/>
        </w:numPr>
        <w:adjustRightInd w:val="false"/>
        <w:snapToGrid w:val="false"/>
        <w:spacing w:lineRule="exact" w:line="360"/>
        <w:ind w:right="-199" w:rightChars="-95" w:firstLine="420" w:firstLineChars="200"/>
        <w:rPr>
          <w:rFonts w:ascii="宋体" w:cs="Times New Roman" w:eastAsia="宋体" w:hAnsi="宋体"/>
          <w:kern w:val="0"/>
          <w:szCs w:val="21"/>
        </w:rPr>
      </w:pPr>
      <w:r>
        <w:rPr>
          <w:rFonts w:ascii="宋体" w:cs="Times New Roman" w:eastAsia="宋体" w:hAnsi="宋体" w:hint="eastAsia"/>
          <w:kern w:val="0"/>
          <w:szCs w:val="21"/>
        </w:rPr>
        <w:t>交易方式为动态报价的，本次动态报价活动以挂牌价格为起始价格。</w:t>
      </w:r>
    </w:p>
    <w:p w14:paraId="51D596E4">
      <w:pPr>
        <w:pStyle w:val="style0"/>
        <w:widowControl/>
        <w:numPr>
          <w:ilvl w:val="255"/>
          <w:numId w:val="0"/>
        </w:numPr>
        <w:adjustRightInd w:val="false"/>
        <w:snapToGrid w:val="false"/>
        <w:spacing w:lineRule="exact" w:line="360"/>
        <w:ind w:right="-199" w:rightChars="-95" w:firstLine="480"/>
        <w:jc w:val="left"/>
        <w:rPr>
          <w:rFonts w:ascii="宋体" w:cs="宋体" w:hAnsi="宋体"/>
          <w:kern w:val="0"/>
          <w:szCs w:val="21"/>
        </w:rPr>
      </w:pPr>
      <w:r>
        <w:rPr>
          <w:rFonts w:ascii="宋体" w:cs="宋体" w:hAnsi="宋体" w:hint="eastAsia"/>
          <w:kern w:val="0"/>
          <w:szCs w:val="21"/>
        </w:rPr>
        <w:t>如信息公告期满，只产生一个意向受让方的，产权中心组织交易双方按照竞买人报价与转让底价孰高原则直接签订《</w:t>
      </w:r>
      <w:r>
        <w:rPr>
          <w:rFonts w:ascii="宋体" w:cs="宋体" w:hAnsi="宋体" w:hint="default"/>
          <w:kern w:val="0"/>
          <w:szCs w:val="21"/>
          <w:lang w:val="en-US"/>
        </w:rPr>
        <w:t>资产转让协议</w:t>
      </w:r>
      <w:r>
        <w:rPr>
          <w:rFonts w:ascii="宋体" w:cs="宋体" w:hAnsi="宋体" w:hint="eastAsia"/>
          <w:kern w:val="0"/>
          <w:szCs w:val="21"/>
        </w:rPr>
        <w:t>》。</w:t>
      </w:r>
    </w:p>
    <w:p w14:paraId="2DCD9131">
      <w:pPr>
        <w:pStyle w:val="style0"/>
        <w:widowControl/>
        <w:adjustRightInd w:val="false"/>
        <w:snapToGrid w:val="false"/>
        <w:spacing w:lineRule="exact" w:line="360"/>
        <w:ind w:right="-199" w:rightChars="-95" w:firstLine="420" w:firstLineChars="200"/>
        <w:rPr>
          <w:rFonts w:ascii="宋体" w:cs="宋体" w:hAnsi="宋体"/>
          <w:kern w:val="0"/>
          <w:szCs w:val="21"/>
        </w:rPr>
      </w:pPr>
      <w:r>
        <w:rPr>
          <w:rFonts w:ascii="宋体" w:cs="宋体" w:hAnsi="宋体" w:hint="eastAsia"/>
          <w:kern w:val="0"/>
          <w:szCs w:val="21"/>
        </w:rPr>
        <w:t>信息公告期满，产生两家及以上意向受让方的，意向受让方须在规定的报价时间内报价。</w:t>
      </w:r>
    </w:p>
    <w:p w14:paraId="18E8ECB6">
      <w:pPr>
        <w:pStyle w:val="style0"/>
        <w:adjustRightInd w:val="false"/>
        <w:snapToGrid w:val="false"/>
        <w:spacing w:lineRule="exact" w:line="360"/>
        <w:ind w:right="-199" w:rightChars="-95" w:firstLine="420" w:firstLineChars="200"/>
        <w:rPr>
          <w:rFonts w:ascii="宋体" w:cs="仿宋_GB2312" w:eastAsia="宋体" w:hAnsi="宋体"/>
          <w:szCs w:val="21"/>
        </w:rPr>
      </w:pPr>
      <w:r>
        <w:rPr>
          <w:rFonts w:ascii="宋体" w:cs="仿宋_GB2312" w:eastAsia="宋体" w:hAnsi="宋体" w:hint="eastAsia"/>
          <w:szCs w:val="21"/>
        </w:rPr>
        <w:t>动态报价由定时报价期和连续报价期组成。</w:t>
      </w:r>
    </w:p>
    <w:p w14:paraId="253974EA">
      <w:pPr>
        <w:pStyle w:val="style0"/>
        <w:widowControl/>
        <w:adjustRightInd w:val="false"/>
        <w:snapToGrid w:val="false"/>
        <w:spacing w:lineRule="exact" w:line="360"/>
        <w:ind w:right="-199" w:rightChars="-95" w:firstLine="480"/>
        <w:rPr>
          <w:rFonts w:ascii="宋体" w:cs="Times New Roman" w:eastAsia="宋体" w:hAnsi="宋体"/>
          <w:kern w:val="0"/>
          <w:szCs w:val="21"/>
        </w:rPr>
      </w:pPr>
      <w:r>
        <w:rPr>
          <w:rFonts w:ascii="宋体" w:cs="宋体" w:hAnsi="宋体" w:hint="eastAsia"/>
          <w:kern w:val="0"/>
          <w:szCs w:val="21"/>
        </w:rPr>
        <w:t>（1）</w:t>
      </w:r>
      <w:r>
        <w:rPr>
          <w:rFonts w:ascii="宋体" w:cs="仿宋_GB2312" w:eastAsia="宋体" w:hAnsi="宋体" w:hint="eastAsia"/>
          <w:szCs w:val="21"/>
        </w:rPr>
        <w:t>定</w:t>
      </w:r>
      <w:r>
        <w:rPr>
          <w:rFonts w:ascii="宋体" w:cs="Times New Roman" w:eastAsia="宋体" w:hAnsi="宋体" w:hint="eastAsia"/>
          <w:kern w:val="0"/>
          <w:szCs w:val="21"/>
        </w:rPr>
        <w:t xml:space="preserve">时报价期起始时间详见网站披露信息。在此期间，竞买人可对转让标的进行报价，各竞买人的每次有效报价随即成为当前报价。 </w:t>
      </w:r>
    </w:p>
    <w:p w14:paraId="13828F5C">
      <w:pPr>
        <w:pStyle w:val="style0"/>
        <w:widowControl/>
        <w:adjustRightInd w:val="false"/>
        <w:snapToGrid w:val="false"/>
        <w:spacing w:lineRule="exact" w:line="360"/>
        <w:ind w:right="-199" w:rightChars="-95" w:firstLine="480"/>
        <w:rPr>
          <w:rFonts w:ascii="宋体" w:cs="Times New Roman" w:eastAsia="宋体" w:hAnsi="宋体"/>
          <w:kern w:val="0"/>
          <w:szCs w:val="21"/>
        </w:rPr>
      </w:pPr>
      <w:r>
        <w:rPr>
          <w:rFonts w:ascii="宋体" w:cs="Times New Roman" w:eastAsia="宋体" w:hAnsi="宋体" w:hint="eastAsia"/>
          <w:kern w:val="0"/>
          <w:szCs w:val="21"/>
        </w:rPr>
        <w:t>（</w:t>
      </w:r>
      <w:r>
        <w:rPr>
          <w:rFonts w:ascii="宋体" w:cs="Times New Roman" w:eastAsia="宋体" w:hAnsi="宋体"/>
          <w:kern w:val="0"/>
          <w:szCs w:val="21"/>
        </w:rPr>
        <w:t>2）</w:t>
      </w:r>
      <w:r>
        <w:rPr>
          <w:rFonts w:ascii="宋体" w:cs="Times New Roman" w:eastAsia="宋体" w:hAnsi="宋体" w:hint="eastAsia"/>
          <w:kern w:val="0"/>
          <w:szCs w:val="21"/>
        </w:rPr>
        <w:t>定时报价期结束后立即进入连续报价期。连续报价期可由多个连续报价周期组成，</w:t>
      </w:r>
      <w:r>
        <w:rPr>
          <w:rFonts w:ascii="宋体" w:cs="Times New Roman" w:eastAsia="宋体" w:hAnsi="宋体" w:hint="eastAsia"/>
          <w:b/>
          <w:bCs/>
          <w:kern w:val="0"/>
          <w:szCs w:val="21"/>
        </w:rPr>
        <w:t>每个连续报价周期为</w:t>
      </w:r>
      <w:r>
        <w:rPr>
          <w:rFonts w:ascii="宋体" w:cs="Times New Roman" w:eastAsia="宋体" w:hAnsi="宋体" w:hint="eastAsia"/>
          <w:b/>
          <w:bCs/>
          <w:kern w:val="0"/>
          <w:szCs w:val="21"/>
          <w:lang w:val="en-US" w:eastAsia="zh-CN"/>
        </w:rPr>
        <w:t>3</w:t>
      </w:r>
      <w:r>
        <w:rPr>
          <w:rFonts w:ascii="宋体" w:cs="Times New Roman" w:eastAsia="宋体" w:hAnsi="宋体" w:hint="eastAsia"/>
          <w:b/>
          <w:bCs/>
          <w:kern w:val="0"/>
          <w:szCs w:val="21"/>
        </w:rPr>
        <w:t>分钟（即</w:t>
      </w:r>
      <w:r>
        <w:rPr>
          <w:rFonts w:ascii="宋体" w:cs="Times New Roman" w:eastAsia="宋体" w:hAnsi="宋体" w:hint="eastAsia"/>
          <w:b/>
          <w:bCs/>
          <w:kern w:val="0"/>
          <w:szCs w:val="21"/>
          <w:lang w:val="en-US" w:eastAsia="zh-CN"/>
        </w:rPr>
        <w:t>180</w:t>
      </w:r>
      <w:r>
        <w:rPr>
          <w:rFonts w:ascii="宋体" w:cs="Times New Roman" w:eastAsia="宋体" w:hAnsi="宋体" w:hint="eastAsia"/>
          <w:b/>
          <w:bCs/>
          <w:kern w:val="0"/>
          <w:szCs w:val="21"/>
        </w:rPr>
        <w:t>秒）。</w:t>
      </w:r>
      <w:r>
        <w:rPr>
          <w:rFonts w:ascii="宋体" w:cs="Times New Roman" w:eastAsia="宋体" w:hAnsi="宋体" w:hint="eastAsia"/>
          <w:kern w:val="0"/>
          <w:szCs w:val="21"/>
        </w:rPr>
        <w:t>在每个连续报价周期内，如出现新的有效报价，则进入新的连续报价周期；在一个连续报价周期内如未出现新的有效报价，则当前有效报价方成为本次动态报价活动的受让方。</w:t>
      </w:r>
    </w:p>
    <w:p w14:paraId="24EB50A3">
      <w:pPr>
        <w:pStyle w:val="style0"/>
        <w:widowControl/>
        <w:adjustRightInd w:val="false"/>
        <w:snapToGrid w:val="false"/>
        <w:spacing w:lineRule="exact" w:line="360"/>
        <w:ind w:right="-199" w:rightChars="-95" w:firstLine="420" w:firstLineChars="200"/>
        <w:rPr>
          <w:rFonts w:ascii="宋体" w:cs="Times New Roman" w:eastAsia="宋体" w:hAnsi="宋体"/>
          <w:szCs w:val="21"/>
        </w:rPr>
      </w:pPr>
      <w:r>
        <w:rPr>
          <w:rFonts w:ascii="宋体" w:cs="Times New Roman" w:eastAsia="宋体" w:hAnsi="宋体" w:hint="eastAsia"/>
          <w:szCs w:val="21"/>
        </w:rPr>
        <w:t>动态报价加价规则：</w:t>
      </w:r>
    </w:p>
    <w:p w14:paraId="50216A22">
      <w:pPr>
        <w:pStyle w:val="style0"/>
        <w:spacing w:lineRule="exact" w:line="360"/>
        <w:ind w:right="-199" w:rightChars="-95" w:firstLine="420" w:firstLineChars="200"/>
        <w:rPr>
          <w:rFonts w:ascii="宋体" w:cs="Times New Roman" w:eastAsia="宋体" w:hAnsi="宋体"/>
          <w:szCs w:val="21"/>
        </w:rPr>
      </w:pPr>
      <w:r>
        <w:rPr>
          <w:rFonts w:ascii="宋体" w:cs="Times New Roman" w:eastAsia="宋体" w:hAnsi="宋体" w:hint="eastAsia"/>
          <w:szCs w:val="21"/>
        </w:rPr>
        <w:t>本次动态报价的加价幅度详见网站披露信息。除对转让底价应价外，各竞买人每次加价不得低于加价幅度。</w:t>
      </w:r>
    </w:p>
    <w:p w14:paraId="2845652B">
      <w:pPr>
        <w:pStyle w:val="style0"/>
        <w:numPr>
          <w:ilvl w:val="0"/>
          <w:numId w:val="1"/>
        </w:numPr>
        <w:spacing w:lineRule="exact" w:line="360"/>
        <w:ind w:right="-199" w:rightChars="-95" w:firstLine="420" w:firstLineChars="200"/>
        <w:rPr>
          <w:rFonts w:ascii="宋体" w:cs="Times New Roman" w:eastAsia="宋体" w:hAnsi="宋体"/>
          <w:kern w:val="0"/>
          <w:szCs w:val="21"/>
        </w:rPr>
      </w:pPr>
      <w:r>
        <w:rPr>
          <w:rFonts w:ascii="宋体" w:cs="Times New Roman" w:eastAsia="宋体" w:hAnsi="宋体" w:hint="eastAsia"/>
          <w:szCs w:val="21"/>
        </w:rPr>
        <w:t>项目存在优先购买权人的，优先购买权人在满足同等条件的前提下，可在网络竞价过程中按照其他竞买人的报价即时行权。</w:t>
      </w:r>
      <w:r>
        <w:rPr>
          <w:rFonts w:ascii="宋体" w:cs="Times New Roman" w:eastAsia="宋体" w:hAnsi="宋体" w:hint="eastAsia"/>
          <w:kern w:val="0"/>
          <w:szCs w:val="21"/>
        </w:rPr>
        <w:t>报价时间截止，按照“价格优先、优先购买权人优先”的原则，自动判断最高有效报价的竞买人为买受人。优先购买权行使方式详见《企业国有产权交易优先购买权行使操作规则》。</w:t>
      </w:r>
    </w:p>
    <w:p w14:paraId="512EC1A8">
      <w:pPr>
        <w:pStyle w:val="style0"/>
        <w:keepNext w:val="false"/>
        <w:keepLines w:val="false"/>
        <w:pageBreakBefore w:val="false"/>
        <w:widowControl w:val="false"/>
        <w:kinsoku/>
        <w:wordWrap/>
        <w:overflowPunct/>
        <w:topLinePunct w:val="false"/>
        <w:autoSpaceDE/>
        <w:autoSpaceDN/>
        <w:bidi w:val="false"/>
        <w:adjustRightInd/>
        <w:snapToGrid/>
        <w:spacing w:lineRule="exact" w:line="400"/>
        <w:ind w:firstLine="420" w:firstLineChars="200"/>
        <w:textAlignment w:val="auto"/>
        <w:rPr>
          <w:rFonts w:ascii="宋体" w:cs="Times New Roman" w:eastAsia="宋体" w:hAnsi="宋体"/>
          <w:b/>
          <w:bCs/>
          <w:szCs w:val="21"/>
        </w:rPr>
      </w:pPr>
      <w:r>
        <w:rPr>
          <w:rFonts w:ascii="宋体" w:cs="Times New Roman" w:eastAsia="宋体" w:hAnsi="宋体" w:hint="eastAsia"/>
          <w:szCs w:val="21"/>
        </w:rPr>
        <w:t>十三、产权中心根据交易规则确定受让方后，向受让方出具《结果通知单》。</w:t>
      </w:r>
      <w:r>
        <w:rPr>
          <w:rFonts w:ascii="宋体" w:cs="宋体" w:eastAsia="宋体" w:hAnsi="宋体" w:hint="eastAsia"/>
          <w:b/>
          <w:bCs/>
          <w:color w:val="auto"/>
          <w:kern w:val="2"/>
          <w:sz w:val="24"/>
          <w:szCs w:val="24"/>
          <w:lang w:val="en-US" w:bidi="ar-SA" w:eastAsia="zh-CN"/>
        </w:rPr>
        <w:t>交易服务费按照成交金额进行阶梯计算，10000万元以下(含)按照 0.1%收取</w:t>
      </w:r>
      <w:r>
        <w:rPr>
          <w:rFonts w:ascii="宋体" w:cs="宋体" w:hAnsi="宋体" w:hint="eastAsia"/>
          <w:b/>
          <w:bCs/>
          <w:color w:val="auto"/>
          <w:kern w:val="2"/>
          <w:sz w:val="24"/>
          <w:szCs w:val="24"/>
          <w:lang w:val="en-US" w:bidi="ar-SA" w:eastAsia="zh-CN"/>
        </w:rPr>
        <w:t>；</w:t>
      </w:r>
      <w:r>
        <w:rPr>
          <w:rFonts w:ascii="宋体" w:cs="宋体" w:eastAsia="宋体" w:hAnsi="宋体" w:hint="eastAsia"/>
          <w:b/>
          <w:bCs/>
          <w:color w:val="auto"/>
          <w:kern w:val="2"/>
          <w:sz w:val="24"/>
          <w:szCs w:val="24"/>
          <w:lang w:val="en-US" w:bidi="ar-SA" w:eastAsia="zh-CN"/>
        </w:rPr>
        <w:t>10000万元-50000万元按照(含)按照 0.08%收取</w:t>
      </w:r>
      <w:r>
        <w:rPr>
          <w:rFonts w:ascii="宋体" w:cs="宋体" w:hAnsi="宋体" w:hint="eastAsia"/>
          <w:b/>
          <w:bCs/>
          <w:color w:val="auto"/>
          <w:kern w:val="2"/>
          <w:sz w:val="24"/>
          <w:szCs w:val="24"/>
          <w:lang w:val="en-US" w:bidi="ar-SA" w:eastAsia="zh-CN"/>
        </w:rPr>
        <w:t>；</w:t>
      </w:r>
      <w:r>
        <w:rPr>
          <w:rFonts w:ascii="宋体" w:cs="宋体" w:eastAsia="宋体" w:hAnsi="宋体" w:hint="eastAsia"/>
          <w:b/>
          <w:bCs/>
          <w:color w:val="auto"/>
          <w:kern w:val="2"/>
          <w:sz w:val="24"/>
          <w:szCs w:val="24"/>
          <w:lang w:val="en-US" w:bidi="ar-SA" w:eastAsia="zh-CN"/>
        </w:rPr>
        <w:t>50000万元以上按照0.05%收取。</w:t>
      </w:r>
    </w:p>
    <w:p w14:paraId="18047A39">
      <w:pPr>
        <w:pStyle w:val="style0"/>
        <w:widowControl/>
        <w:adjustRightInd w:val="false"/>
        <w:snapToGrid w:val="false"/>
        <w:spacing w:lineRule="exact" w:line="360"/>
        <w:ind w:right="-199" w:rightChars="-95" w:firstLine="420" w:firstLineChars="200"/>
        <w:rPr>
          <w:rFonts w:ascii="宋体" w:cs="宋体" w:hAnsi="宋体"/>
          <w:kern w:val="0"/>
          <w:szCs w:val="21"/>
        </w:rPr>
      </w:pPr>
      <w:r>
        <w:rPr>
          <w:rFonts w:ascii="宋体" w:cs="宋体" w:hAnsi="宋体" w:hint="eastAsia"/>
          <w:kern w:val="0"/>
          <w:szCs w:val="21"/>
        </w:rPr>
        <w:t>十四、受让方的保证金转为履约保证金。未购买成功且无违约责任的意向受让方，产权中心于确定受让方后2个工作日内将其保证金无息退还。</w:t>
      </w:r>
    </w:p>
    <w:p w14:paraId="261749FA">
      <w:pPr>
        <w:pStyle w:val="style0"/>
        <w:widowControl/>
        <w:adjustRightInd w:val="false"/>
        <w:snapToGrid w:val="false"/>
        <w:spacing w:lineRule="exact" w:line="360"/>
        <w:ind w:right="-199" w:rightChars="-95" w:firstLine="480"/>
        <w:rPr>
          <w:rFonts w:ascii="宋体" w:hAnsi="宋体"/>
          <w:kern w:val="0"/>
          <w:szCs w:val="21"/>
        </w:rPr>
      </w:pPr>
      <w:r>
        <w:rPr>
          <w:rFonts w:ascii="宋体" w:cs="宋体" w:hAnsi="宋体" w:hint="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253FB9B0">
      <w:pPr>
        <w:pStyle w:val="style0"/>
        <w:widowControl/>
        <w:adjustRightInd w:val="false"/>
        <w:snapToGrid w:val="false"/>
        <w:spacing w:lineRule="exact" w:line="360"/>
        <w:ind w:right="-199" w:rightChars="-95" w:firstLine="420" w:firstLineChars="200"/>
        <w:rPr>
          <w:rFonts w:ascii="宋体" w:cs="宋体" w:hAnsi="宋体"/>
          <w:kern w:val="0"/>
          <w:szCs w:val="21"/>
        </w:rPr>
      </w:pPr>
      <w:r>
        <w:rPr>
          <w:rFonts w:ascii="宋体" w:cs="宋体" w:hAnsi="宋体" w:hint="eastAsia"/>
          <w:kern w:val="0"/>
          <w:szCs w:val="21"/>
        </w:rPr>
        <w:t>十六、产权中心将按以下方式之一向意向受让方发送有关事项通知：</w:t>
      </w:r>
    </w:p>
    <w:p w14:paraId="2994E76F">
      <w:pPr>
        <w:pStyle w:val="style0"/>
        <w:widowControl/>
        <w:adjustRightInd w:val="false"/>
        <w:snapToGrid w:val="false"/>
        <w:spacing w:lineRule="exact" w:line="360"/>
        <w:ind w:right="-199" w:rightChars="-95" w:firstLine="420" w:firstLineChars="200"/>
        <w:rPr>
          <w:rFonts w:ascii="宋体" w:cs="宋体" w:hAnsi="宋体"/>
          <w:kern w:val="0"/>
          <w:sz w:val="13"/>
          <w:szCs w:val="13"/>
        </w:rPr>
      </w:pPr>
      <w:r>
        <w:rPr>
          <w:rFonts w:ascii="宋体" w:cs="宋体" w:hAnsi="宋体" w:hint="eastAsia"/>
          <w:kern w:val="0"/>
          <w:szCs w:val="21"/>
        </w:rPr>
        <w:t>1、通过意向受让方在产权中心交易系统预留的邮箱发送邮件；</w:t>
      </w:r>
    </w:p>
    <w:p w14:paraId="422D0C79">
      <w:pPr>
        <w:pStyle w:val="style0"/>
        <w:widowControl/>
        <w:adjustRightInd w:val="false"/>
        <w:snapToGrid w:val="false"/>
        <w:spacing w:lineRule="exact" w:line="360"/>
        <w:ind w:right="-199" w:rightChars="-95" w:firstLine="420" w:firstLineChars="200"/>
        <w:rPr>
          <w:rFonts w:ascii="宋体" w:cs="宋体" w:hAnsi="宋体"/>
          <w:kern w:val="0"/>
          <w:szCs w:val="21"/>
        </w:rPr>
      </w:pPr>
      <w:r>
        <w:rPr>
          <w:rFonts w:ascii="宋体" w:cs="宋体" w:hAnsi="宋体" w:hint="eastAsia"/>
          <w:kern w:val="0"/>
          <w:szCs w:val="21"/>
        </w:rPr>
        <w:t>2、按意向受让方提交的报名材料或交易系统中载明的联系人手机号码发送手机短信。</w:t>
      </w:r>
    </w:p>
    <w:p w14:paraId="6BA69BC4">
      <w:pPr>
        <w:pStyle w:val="style0"/>
        <w:widowControl/>
        <w:adjustRightInd w:val="false"/>
        <w:snapToGrid w:val="false"/>
        <w:spacing w:lineRule="exact" w:line="360"/>
        <w:ind w:right="-199" w:rightChars="-95" w:firstLine="422" w:firstLineChars="200"/>
        <w:rPr>
          <w:rFonts w:ascii="宋体" w:cs="宋体" w:hAnsi="宋体"/>
          <w:b/>
          <w:bCs/>
          <w:kern w:val="0"/>
          <w:szCs w:val="21"/>
        </w:rPr>
      </w:pPr>
      <w:r>
        <w:rPr>
          <w:rFonts w:ascii="宋体" w:cs="宋体" w:hAnsi="宋体" w:hint="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56920426">
      <w:pPr>
        <w:pStyle w:val="style0"/>
        <w:widowControl/>
        <w:adjustRightInd w:val="false"/>
        <w:snapToGrid w:val="false"/>
        <w:spacing w:lineRule="exact" w:line="360"/>
        <w:ind w:right="-199" w:rightChars="-95" w:firstLine="420" w:firstLineChars="200"/>
        <w:rPr>
          <w:rFonts w:ascii="宋体" w:hAnsi="宋体"/>
          <w:szCs w:val="21"/>
        </w:rPr>
      </w:pPr>
      <w:r>
        <w:rPr>
          <w:rFonts w:ascii="宋体" w:cs="宋体" w:hAnsi="宋体" w:hint="eastAsia"/>
          <w:kern w:val="0"/>
          <w:szCs w:val="21"/>
        </w:rPr>
        <w:t>十七、</w:t>
      </w:r>
      <w:r>
        <w:rPr>
          <w:rFonts w:ascii="宋体" w:hAnsi="宋体" w:hint="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5636438">
      <w:pPr>
        <w:pStyle w:val="style0"/>
        <w:widowControl/>
        <w:adjustRightInd w:val="false"/>
        <w:snapToGrid w:val="false"/>
        <w:spacing w:lineRule="exact" w:line="360"/>
        <w:ind w:right="-199" w:rightChars="-95" w:firstLine="480"/>
        <w:rPr>
          <w:rFonts w:ascii="宋体" w:hAnsi="宋体"/>
          <w:kern w:val="0"/>
          <w:szCs w:val="21"/>
        </w:rPr>
      </w:pPr>
      <w:r>
        <w:rPr>
          <w:rFonts w:ascii="宋体" w:cs="宋体" w:hAnsi="宋体" w:hint="eastAsia"/>
          <w:kern w:val="0"/>
          <w:szCs w:val="21"/>
        </w:rPr>
        <w:t>十八、因意向受让方如下行为产生的一切后果，产权中心不承担任何责任：</w:t>
      </w:r>
    </w:p>
    <w:p w14:paraId="1F6AD293">
      <w:pPr>
        <w:pStyle w:val="style0"/>
        <w:widowControl/>
        <w:adjustRightInd w:val="false"/>
        <w:snapToGrid w:val="false"/>
        <w:spacing w:lineRule="exact" w:line="360"/>
        <w:ind w:right="-199" w:rightChars="-95" w:firstLine="480"/>
        <w:rPr>
          <w:rFonts w:ascii="宋体" w:hAnsi="宋体"/>
          <w:kern w:val="0"/>
          <w:szCs w:val="21"/>
        </w:rPr>
      </w:pPr>
      <w:r>
        <w:rPr>
          <w:rFonts w:ascii="宋体" w:cs="宋体" w:hAnsi="宋体"/>
          <w:kern w:val="0"/>
          <w:szCs w:val="21"/>
        </w:rPr>
        <w:t>1</w:t>
      </w:r>
      <w:r>
        <w:rPr>
          <w:rFonts w:ascii="宋体" w:cs="宋体" w:hAnsi="宋体" w:hint="eastAsia"/>
          <w:kern w:val="0"/>
          <w:szCs w:val="21"/>
        </w:rPr>
        <w:t>、未及时关注产权中心及竞价系统发布的网络竞价活动相关信息的；</w:t>
      </w:r>
    </w:p>
    <w:p w14:paraId="296C9024">
      <w:pPr>
        <w:pStyle w:val="style0"/>
        <w:widowControl/>
        <w:adjustRightInd w:val="false"/>
        <w:snapToGrid w:val="false"/>
        <w:spacing w:lineRule="exact" w:line="360"/>
        <w:ind w:right="-199" w:rightChars="-95" w:firstLine="480"/>
        <w:rPr>
          <w:rFonts w:ascii="宋体" w:hAnsi="宋体"/>
          <w:kern w:val="0"/>
          <w:szCs w:val="21"/>
        </w:rPr>
      </w:pPr>
      <w:r>
        <w:rPr>
          <w:rFonts w:ascii="宋体" w:cs="宋体" w:hAnsi="宋体"/>
          <w:kern w:val="0"/>
          <w:szCs w:val="21"/>
        </w:rPr>
        <w:t>2</w:t>
      </w:r>
      <w:r>
        <w:rPr>
          <w:rFonts w:ascii="宋体" w:cs="宋体" w:hAnsi="宋体" w:hint="eastAsia"/>
          <w:kern w:val="0"/>
          <w:szCs w:val="21"/>
        </w:rPr>
        <w:t>、由于意向受让方使用的终端设备和网络异常等原因导致无法正常报价的；</w:t>
      </w:r>
    </w:p>
    <w:p w14:paraId="716309C7">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kern w:val="0"/>
          <w:szCs w:val="21"/>
        </w:rPr>
        <w:t>3</w:t>
      </w:r>
      <w:r>
        <w:rPr>
          <w:rFonts w:ascii="宋体" w:cs="宋体" w:hAnsi="宋体" w:hint="eastAsia"/>
          <w:kern w:val="0"/>
          <w:szCs w:val="21"/>
        </w:rPr>
        <w:t>、网络竞价活动的时间以竞价系统服务器时间为准。由于意向受让方使用的终端设备时间与竞价系统服务器时间不符而导致未按时参与报价的。</w:t>
      </w:r>
    </w:p>
    <w:p w14:paraId="122B0BFA">
      <w:pPr>
        <w:pStyle w:val="style0"/>
        <w:adjustRightInd w:val="false"/>
        <w:snapToGrid w:val="false"/>
        <w:spacing w:lineRule="exact" w:line="360"/>
        <w:ind w:firstLine="420" w:firstLineChars="200"/>
        <w:jc w:val="left"/>
        <w:rPr>
          <w:rFonts w:ascii="宋体" w:cs="Times New Roman" w:eastAsia="宋体" w:hAnsi="宋体"/>
          <w:kern w:val="0"/>
          <w:szCs w:val="21"/>
        </w:rPr>
      </w:pPr>
      <w:r>
        <w:rPr>
          <w:rFonts w:ascii="宋体" w:cs="Times New Roman" w:eastAsia="宋体" w:hAnsi="宋体" w:hint="eastAsia"/>
          <w:kern w:val="0"/>
          <w:szCs w:val="21"/>
        </w:rPr>
        <w:t>4、根据《山东产权交易中心竞价现场管理规定（暂行）》无法正常组织网络竞价的；</w:t>
      </w:r>
    </w:p>
    <w:p w14:paraId="1AD4C168">
      <w:pPr>
        <w:pStyle w:val="style0"/>
        <w:adjustRightInd w:val="false"/>
        <w:snapToGrid w:val="false"/>
        <w:spacing w:lineRule="exact" w:line="360"/>
        <w:ind w:firstLine="420" w:firstLineChars="200"/>
        <w:jc w:val="left"/>
        <w:rPr>
          <w:rFonts w:ascii="宋体" w:cs="宋体" w:hAnsi="宋体"/>
          <w:kern w:val="0"/>
          <w:szCs w:val="21"/>
        </w:rPr>
      </w:pPr>
      <w:r>
        <w:rPr>
          <w:rFonts w:ascii="宋体" w:cs="Times New Roman" w:eastAsia="宋体" w:hAnsi="宋体" w:hint="eastAsia"/>
          <w:kern w:val="0"/>
          <w:szCs w:val="21"/>
        </w:rPr>
        <w:t>以及其他适用于互联网站的中华人民共和国法律法规规定的有关免责行为。</w:t>
      </w:r>
    </w:p>
    <w:p w14:paraId="76DE8FAA">
      <w:pPr>
        <w:pStyle w:val="style0"/>
        <w:widowControl/>
        <w:adjustRightInd w:val="false"/>
        <w:snapToGrid w:val="false"/>
        <w:spacing w:lineRule="exact" w:line="360"/>
        <w:ind w:right="-199" w:rightChars="-95" w:firstLine="480"/>
        <w:rPr>
          <w:rFonts w:ascii="宋体" w:hAnsi="宋体"/>
          <w:kern w:val="0"/>
          <w:szCs w:val="21"/>
        </w:rPr>
      </w:pPr>
      <w:r>
        <w:rPr>
          <w:rFonts w:ascii="宋体" w:cs="宋体" w:hAnsi="宋体" w:hint="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68E061FC">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报价记录可以恢复的，以中断时的最高有效报价为起始价继续报价；报价记录无法恢复的，以转让底价为起始价重新报价。</w:t>
      </w:r>
    </w:p>
    <w:p w14:paraId="0A80F439">
      <w:pPr>
        <w:pStyle w:val="style0"/>
        <w:widowControl/>
        <w:spacing w:lineRule="exact" w:line="360"/>
        <w:ind w:right="-199" w:rightChars="-95" w:firstLine="490"/>
        <w:rPr>
          <w:rFonts w:ascii="宋体" w:cs="宋体" w:hAnsi="宋体"/>
          <w:kern w:val="0"/>
          <w:szCs w:val="21"/>
        </w:rPr>
      </w:pPr>
      <w:r>
        <w:rPr>
          <w:rFonts w:ascii="宋体" w:cs="宋体" w:hAnsi="宋体" w:hint="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7EC16F16">
      <w:pPr>
        <w:pStyle w:val="style0"/>
        <w:widowControl/>
        <w:spacing w:lineRule="exact" w:line="320"/>
        <w:ind w:right="-199" w:rightChars="-95" w:firstLine="422" w:firstLineChars="200"/>
        <w:rPr>
          <w:rFonts w:ascii="宋体" w:cs="宋体" w:eastAsia="宋体" w:hAnsi="宋体"/>
          <w:b/>
          <w:bCs/>
          <w:kern w:val="0"/>
          <w:szCs w:val="21"/>
        </w:rPr>
      </w:pPr>
      <w:r>
        <w:rPr>
          <w:rFonts w:ascii="宋体" w:cs="宋体" w:hAnsi="宋体" w:hint="eastAsia"/>
          <w:b/>
          <w:bCs/>
          <w:kern w:val="0"/>
          <w:szCs w:val="21"/>
        </w:rPr>
        <w:t>二十一、意向受让方须同意，</w:t>
      </w:r>
      <w:r>
        <w:rPr>
          <w:rFonts w:ascii="宋体" w:cs="宋体" w:eastAsia="宋体" w:hAnsi="宋体" w:hint="eastAsia"/>
          <w:b/>
          <w:bCs/>
          <w:kern w:val="0"/>
          <w:szCs w:val="21"/>
        </w:rPr>
        <w:t>被确定为受让方后不能在规定时间内与转让方签订</w:t>
      </w:r>
      <w:r>
        <w:rPr>
          <w:rFonts w:ascii="宋体" w:cs="宋体" w:hAnsi="宋体" w:hint="eastAsia"/>
          <w:b/>
          <w:bCs/>
          <w:kern w:val="0"/>
          <w:szCs w:val="21"/>
        </w:rPr>
        <w:t>《</w:t>
      </w:r>
      <w:r>
        <w:rPr>
          <w:rFonts w:ascii="宋体" w:cs="宋体" w:hAnsi="宋体" w:hint="default"/>
          <w:b/>
          <w:bCs/>
          <w:kern w:val="0"/>
          <w:szCs w:val="21"/>
          <w:lang w:val="en-US"/>
        </w:rPr>
        <w:t>资产</w:t>
      </w:r>
      <w:r>
        <w:rPr>
          <w:rFonts w:ascii="宋体" w:cs="宋体" w:hAnsi="宋体" w:hint="eastAsia"/>
          <w:b/>
          <w:bCs/>
          <w:kern w:val="0"/>
          <w:szCs w:val="21"/>
        </w:rPr>
        <w:t>转让协议》并</w:t>
      </w:r>
      <w:r>
        <w:rPr>
          <w:rFonts w:ascii="宋体" w:cs="宋体" w:eastAsia="宋体" w:hAnsi="宋体" w:hint="eastAsia"/>
          <w:b/>
          <w:bCs/>
          <w:kern w:val="0"/>
          <w:szCs w:val="21"/>
        </w:rPr>
        <w:t>付清交易价款及交易费用、按要求完成项目移交的，承诺承担以下责任：</w:t>
      </w:r>
    </w:p>
    <w:p w14:paraId="25238493">
      <w:pPr>
        <w:pStyle w:val="style0"/>
        <w:widowControl/>
        <w:spacing w:lineRule="exact" w:line="320"/>
        <w:ind w:right="-199" w:rightChars="-95" w:firstLine="422" w:firstLineChars="200"/>
        <w:rPr>
          <w:rFonts w:ascii="宋体" w:cs="宋体" w:eastAsia="宋体" w:hAnsi="宋体"/>
          <w:b/>
          <w:bCs/>
          <w:kern w:val="0"/>
          <w:szCs w:val="21"/>
        </w:rPr>
      </w:pPr>
      <w:r>
        <w:rPr>
          <w:rFonts w:ascii="宋体" w:cs="宋体" w:eastAsia="宋体" w:hAnsi="宋体" w:hint="eastAsia"/>
          <w:b/>
          <w:bCs/>
          <w:kern w:val="0"/>
          <w:szCs w:val="21"/>
        </w:rPr>
        <w:t>未能在规定时间内与转让方签订《</w:t>
      </w:r>
      <w:r>
        <w:rPr>
          <w:rFonts w:ascii="宋体" w:cs="宋体" w:eastAsia="宋体" w:hAnsi="宋体" w:hint="default"/>
          <w:b/>
          <w:bCs/>
          <w:kern w:val="0"/>
          <w:szCs w:val="21"/>
          <w:lang w:val="en-US"/>
        </w:rPr>
        <w:t>资产</w:t>
      </w:r>
      <w:r>
        <w:rPr>
          <w:rFonts w:ascii="宋体" w:cs="宋体" w:hAnsi="宋体" w:hint="eastAsia"/>
          <w:b/>
          <w:bCs/>
          <w:kern w:val="0"/>
          <w:szCs w:val="21"/>
        </w:rPr>
        <w:t>转让协议</w:t>
      </w:r>
      <w:r>
        <w:rPr>
          <w:rFonts w:ascii="宋体" w:cs="宋体" w:eastAsia="宋体" w:hAnsi="宋体" w:hint="eastAsia"/>
          <w:b/>
          <w:bCs/>
          <w:kern w:val="0"/>
          <w:szCs w:val="21"/>
        </w:rPr>
        <w:t>》并付清全部交易价款及交易费用的，构成违约。意向受让方同意产权中心按照《山东产权交易中心交易保证金操作细则》</w:t>
      </w:r>
      <w:r>
        <w:rPr>
          <w:rFonts w:ascii="宋体" w:cs="宋体" w:hAnsi="宋体" w:hint="eastAsia"/>
          <w:b/>
          <w:bCs/>
          <w:kern w:val="0"/>
          <w:szCs w:val="21"/>
        </w:rPr>
        <w:t>扣</w:t>
      </w:r>
      <w:r>
        <w:rPr>
          <w:rFonts w:ascii="宋体" w:cs="宋体" w:eastAsia="宋体" w:hAnsi="宋体" w:hint="eastAsia"/>
          <w:b/>
          <w:bCs/>
          <w:kern w:val="0"/>
          <w:szCs w:val="21"/>
        </w:rPr>
        <w:t>收保证金。受让方构成违约的，仍须承担本次交易活动受让方及转</w:t>
      </w:r>
      <w:r>
        <w:rPr>
          <w:rFonts w:ascii="宋体" w:hAnsi="宋体" w:hint="eastAsia"/>
          <w:b/>
          <w:bCs/>
          <w:kern w:val="0"/>
          <w:szCs w:val="21"/>
        </w:rPr>
        <w:t>让方的全部交易费用。</w:t>
      </w:r>
      <w:r>
        <w:rPr>
          <w:rFonts w:ascii="宋体" w:cs="宋体" w:eastAsia="宋体" w:hAnsi="宋体" w:hint="eastAsia"/>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7B50118F">
      <w:pPr>
        <w:pStyle w:val="style0"/>
        <w:widowControl/>
        <w:adjustRightInd w:val="false"/>
        <w:snapToGrid w:val="false"/>
        <w:spacing w:lineRule="exact" w:line="360"/>
        <w:ind w:right="-199" w:rightChars="-95" w:firstLine="480"/>
        <w:rPr>
          <w:rFonts w:ascii="宋体" w:cs="宋体" w:hAnsi="宋体"/>
          <w:kern w:val="0"/>
          <w:szCs w:val="21"/>
        </w:rPr>
      </w:pPr>
      <w:r>
        <w:rPr>
          <w:rFonts w:ascii="宋体" w:cs="宋体" w:hAnsi="宋体" w:hint="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96E278E">
      <w:pPr>
        <w:pStyle w:val="style0"/>
        <w:widowControl/>
        <w:adjustRightInd w:val="false"/>
        <w:snapToGrid w:val="false"/>
        <w:spacing w:lineRule="exact" w:line="360"/>
        <w:ind w:right="-199" w:rightChars="-95" w:firstLine="480"/>
        <w:rPr>
          <w:rFonts w:ascii="宋体" w:cs="宋体" w:hAnsi="宋体"/>
          <w:kern w:val="0"/>
          <w:szCs w:val="21"/>
        </w:rPr>
      </w:pPr>
    </w:p>
    <w:p w14:paraId="1FAE3A48">
      <w:pPr>
        <w:pStyle w:val="style0"/>
        <w:widowControl/>
        <w:spacing w:lineRule="exact" w:line="320"/>
        <w:ind w:left="-283" w:leftChars="-135" w:right="-199" w:rightChars="-95" w:firstLine="163" w:firstLineChars="78"/>
        <w:rPr>
          <w:rFonts w:ascii="宋体" w:cs="宋体" w:hAnsi="宋体"/>
          <w:kern w:val="0"/>
          <w:szCs w:val="21"/>
        </w:rPr>
      </w:pPr>
      <w:r>
        <w:rPr>
          <w:rFonts w:ascii="宋体" w:cs="宋体" w:hAnsi="宋体"/>
          <w:kern w:val="0"/>
          <w:szCs w:val="21"/>
        </w:rPr>
        <w:t xml:space="preserve">          </w:t>
      </w:r>
    </w:p>
    <w:p w14:paraId="4674EC15">
      <w:pPr>
        <w:pStyle w:val="style0"/>
        <w:widowControl/>
        <w:spacing w:lineRule="exact" w:line="320"/>
        <w:ind w:left="-283" w:leftChars="-135" w:right="-199" w:rightChars="-95" w:firstLine="163" w:firstLineChars="78"/>
        <w:rPr/>
      </w:pPr>
      <w:r>
        <w:rPr>
          <w:rFonts w:ascii="宋体" w:cs="宋体" w:hAnsi="宋体" w:hint="eastAsia"/>
          <w:kern w:val="0"/>
          <w:szCs w:val="21"/>
        </w:rPr>
        <w:t xml:space="preserve"> </w:t>
      </w:r>
      <w:r>
        <w:rPr>
          <w:rFonts w:ascii="宋体" w:cs="宋体" w:hAnsi="宋体"/>
          <w:kern w:val="0"/>
          <w:szCs w:val="21"/>
        </w:rPr>
        <w:t xml:space="preserve"> </w:t>
      </w:r>
      <w:r>
        <w:rPr>
          <w:rFonts w:ascii="宋体" w:cs="宋体" w:hAnsi="宋体" w:hint="eastAsia"/>
          <w:b/>
          <w:kern w:val="0"/>
          <w:szCs w:val="21"/>
        </w:rPr>
        <w:t xml:space="preserve">□ 承诺方为企业法人或其他经济组织的： </w:t>
      </w:r>
      <w:r>
        <w:t xml:space="preserve">                   </w:t>
      </w:r>
      <w:r>
        <w:rPr>
          <w:rFonts w:ascii="宋体" w:cs="宋体" w:hAnsi="宋体" w:hint="eastAsia"/>
          <w:b/>
          <w:kern w:val="0"/>
          <w:szCs w:val="21"/>
        </w:rPr>
        <w:t>□ 承诺方为自然人的：</w:t>
      </w:r>
    </w:p>
    <w:p w14:paraId="455EB371">
      <w:pPr>
        <w:pStyle w:val="style0"/>
        <w:widowControl/>
        <w:spacing w:lineRule="exact" w:line="320"/>
        <w:ind w:left="-283" w:leftChars="-135" w:right="-199" w:rightChars="-95" w:firstLine="163" w:firstLineChars="78"/>
        <w:rPr>
          <w:rFonts w:ascii="宋体" w:hAnsi="宋体"/>
          <w:kern w:val="0"/>
          <w:szCs w:val="21"/>
        </w:rPr>
      </w:pPr>
    </w:p>
    <w:p w14:paraId="245E12BD">
      <w:pPr>
        <w:pStyle w:val="style0"/>
        <w:widowControl/>
        <w:spacing w:lineRule="exact" w:line="320"/>
        <w:ind w:left="-283" w:leftChars="-135" w:right="-199" w:rightChars="-95" w:firstLine="163" w:firstLineChars="78"/>
        <w:rPr>
          <w:rFonts w:ascii="宋体" w:hAnsi="宋体"/>
          <w:kern w:val="0"/>
          <w:szCs w:val="21"/>
          <w:u w:val="single"/>
        </w:rPr>
      </w:pPr>
      <w:r>
        <w:rPr>
          <w:rFonts w:ascii="宋体" w:cs="宋体" w:hAnsi="宋体" w:hint="eastAsia"/>
          <w:kern w:val="0"/>
          <w:szCs w:val="21"/>
        </w:rPr>
        <w:t>承诺方（盖章）：</w:t>
      </w:r>
      <w:r>
        <w:rPr>
          <w:rFonts w:ascii="宋体" w:hAnsi="宋体" w:hint="eastAsia"/>
          <w:kern w:val="0"/>
          <w:szCs w:val="21"/>
          <w:u w:val="single"/>
        </w:rPr>
        <w:t xml:space="preserve">          </w:t>
      </w:r>
      <w:r>
        <w:rPr>
          <w:rFonts w:ascii="宋体" w:hAnsi="宋体"/>
          <w:kern w:val="0"/>
          <w:szCs w:val="21"/>
          <w:u w:val="single"/>
        </w:rPr>
        <w:t xml:space="preserve">   </w:t>
      </w:r>
      <w:r>
        <w:rPr>
          <w:rFonts w:ascii="宋体" w:hAnsi="宋体"/>
          <w:kern w:val="0"/>
          <w:szCs w:val="21"/>
        </w:rPr>
        <w:t> </w:t>
      </w:r>
      <w:r>
        <w:rPr>
          <w:rFonts w:ascii="宋体" w:hAnsi="宋体" w:hint="eastAsia"/>
          <w:kern w:val="0"/>
          <w:szCs w:val="21"/>
        </w:rPr>
        <w:t xml:space="preserve">        </w:t>
      </w:r>
      <w:r>
        <w:rPr>
          <w:rFonts w:ascii="宋体" w:hAnsi="宋体"/>
          <w:kern w:val="0"/>
          <w:szCs w:val="21"/>
        </w:rPr>
        <w:t xml:space="preserve">                   </w:t>
      </w:r>
      <w:r>
        <w:rPr>
          <w:rFonts w:ascii="宋体" w:hAnsi="宋体" w:hint="eastAsia"/>
          <w:kern w:val="0"/>
          <w:szCs w:val="21"/>
        </w:rPr>
        <w:t>承诺方（签字、手印）</w:t>
      </w:r>
      <w:r>
        <w:rPr>
          <w:rFonts w:ascii="宋体" w:hAnsi="宋体" w:hint="eastAsia"/>
          <w:kern w:val="0"/>
          <w:szCs w:val="21"/>
          <w:u w:val="single"/>
        </w:rPr>
        <w:t xml:space="preserve"> </w:t>
      </w:r>
      <w:r>
        <w:rPr>
          <w:rFonts w:ascii="宋体" w:hAnsi="宋体"/>
          <w:kern w:val="0"/>
          <w:szCs w:val="21"/>
          <w:u w:val="single"/>
        </w:rPr>
        <w:t xml:space="preserve">       </w:t>
      </w:r>
    </w:p>
    <w:p w14:paraId="3FBA4016">
      <w:pPr>
        <w:pStyle w:val="style0"/>
        <w:widowControl/>
        <w:spacing w:lineRule="exact" w:line="320"/>
        <w:ind w:left="-283" w:leftChars="-135" w:right="-199" w:rightChars="-95" w:firstLine="163" w:firstLineChars="78"/>
        <w:rPr>
          <w:rFonts w:ascii="宋体" w:cs="Times New Roman" w:eastAsia="宋体" w:hAnsi="Times New Roman"/>
          <w:kern w:val="0"/>
          <w:szCs w:val="21"/>
        </w:rPr>
      </w:pPr>
      <w:r>
        <w:rPr>
          <w:rFonts w:ascii="宋体" w:hAnsi="宋体" w:hint="eastAsia"/>
          <w:kern w:val="0"/>
          <w:szCs w:val="21"/>
        </w:rPr>
        <w:t>法定</w:t>
      </w:r>
      <w:r>
        <w:rPr>
          <w:rFonts w:ascii="宋体" w:cs="宋体" w:hAnsi="宋体" w:hint="eastAsia"/>
          <w:kern w:val="0"/>
          <w:szCs w:val="21"/>
        </w:rPr>
        <w:t>代表人/授权代表人（签字）：</w:t>
      </w:r>
      <w:r>
        <w:rPr>
          <w:rFonts w:ascii="宋体" w:hAnsi="宋体" w:hint="eastAsia"/>
          <w:kern w:val="0"/>
          <w:szCs w:val="21"/>
          <w:u w:val="single"/>
        </w:rPr>
        <w:t xml:space="preserve">      </w:t>
      </w:r>
      <w:r>
        <w:rPr>
          <w:rFonts w:ascii="宋体" w:hAnsi="宋体"/>
          <w:kern w:val="0"/>
          <w:szCs w:val="21"/>
          <w:u w:val="single"/>
        </w:rPr>
        <w:t xml:space="preserve">    </w:t>
      </w:r>
      <w:r>
        <w:rPr>
          <w:rFonts w:ascii="宋体" w:cs="Times New Roman" w:eastAsia="宋体" w:hAnsi="Times New Roman" w:hint="eastAsia"/>
          <w:kern w:val="0"/>
          <w:szCs w:val="21"/>
        </w:rPr>
        <w:t xml:space="preserve">    </w:t>
      </w:r>
      <w:r>
        <w:rPr>
          <w:rFonts w:ascii="宋体" w:cs="Times New Roman" w:eastAsia="宋体" w:hAnsi="Times New Roman"/>
          <w:kern w:val="0"/>
          <w:szCs w:val="21"/>
        </w:rPr>
        <w:t xml:space="preserve">  </w:t>
      </w:r>
      <w:r>
        <w:rPr>
          <w:rFonts w:ascii="宋体" w:cs="Times New Roman" w:eastAsia="宋体" w:hAnsi="Times New Roman" w:hint="eastAsia"/>
          <w:kern w:val="0"/>
          <w:szCs w:val="21"/>
        </w:rPr>
        <w:t xml:space="preserve">  </w:t>
      </w:r>
      <w:r>
        <w:rPr>
          <w:rFonts w:ascii="宋体" w:cs="Times New Roman" w:eastAsia="宋体" w:hAnsi="Times New Roman"/>
          <w:kern w:val="0"/>
          <w:szCs w:val="21"/>
        </w:rPr>
        <w:t xml:space="preserve">         </w:t>
      </w:r>
      <w:r>
        <w:rPr>
          <w:rFonts w:ascii="宋体" w:cs="Times New Roman" w:eastAsia="宋体" w:hAnsi="Times New Roman" w:hint="eastAsia"/>
          <w:kern w:val="0"/>
          <w:szCs w:val="21"/>
        </w:rPr>
        <w:t>手机号：</w:t>
      </w:r>
      <w:r>
        <w:rPr>
          <w:rFonts w:ascii="宋体" w:cs="Times New Roman" w:eastAsia="宋体" w:hAnsi="Times New Roman" w:hint="eastAsia"/>
          <w:kern w:val="0"/>
          <w:szCs w:val="21"/>
          <w:u w:val="single"/>
        </w:rPr>
        <w:t xml:space="preserve">            </w:t>
      </w:r>
      <w:r>
        <w:rPr>
          <w:rFonts w:ascii="宋体" w:cs="Times New Roman" w:eastAsia="宋体" w:hAnsi="Times New Roman" w:hint="eastAsia"/>
          <w:kern w:val="0"/>
          <w:szCs w:val="21"/>
        </w:rPr>
        <w:t xml:space="preserve"> </w:t>
      </w:r>
    </w:p>
    <w:p w14:paraId="02F7FE7F">
      <w:pPr>
        <w:pStyle w:val="style0"/>
        <w:widowControl/>
        <w:spacing w:lineRule="exact" w:line="320"/>
        <w:ind w:left="-283" w:leftChars="-135" w:right="-199" w:rightChars="-95" w:firstLine="163" w:firstLineChars="78"/>
        <w:rPr>
          <w:rFonts w:ascii="Times New Roman" w:cs="Times New Roman" w:eastAsia="宋体" w:hAnsi="Times New Roman"/>
          <w:szCs w:val="21"/>
        </w:rPr>
      </w:pPr>
      <w:r>
        <w:rPr>
          <w:rFonts w:ascii="宋体" w:cs="Times New Roman" w:eastAsia="宋体" w:hAnsi="Times New Roman" w:hint="eastAsia"/>
          <w:kern w:val="0"/>
          <w:szCs w:val="21"/>
        </w:rPr>
        <w:t>手机号：</w:t>
      </w:r>
      <w:r>
        <w:rPr>
          <w:rFonts w:ascii="宋体" w:cs="Times New Roman" w:eastAsia="宋体" w:hAnsi="Times New Roman" w:hint="eastAsia"/>
          <w:kern w:val="0"/>
          <w:szCs w:val="21"/>
          <w:u w:val="single"/>
        </w:rPr>
        <w:t xml:space="preserve">              </w:t>
      </w:r>
      <w:r>
        <w:rPr>
          <w:rFonts w:ascii="宋体" w:cs="Times New Roman" w:eastAsia="宋体" w:hAnsi="Times New Roman"/>
          <w:kern w:val="0"/>
          <w:szCs w:val="21"/>
          <w:u w:val="single"/>
        </w:rPr>
        <w:t xml:space="preserve"> </w:t>
      </w:r>
      <w:r>
        <w:rPr>
          <w:rFonts w:ascii="宋体" w:cs="Times New Roman" w:eastAsia="宋体" w:hAnsi="Times New Roman"/>
          <w:kern w:val="0"/>
          <w:szCs w:val="21"/>
        </w:rPr>
        <w:t xml:space="preserve">          </w:t>
      </w:r>
      <w:r>
        <w:rPr>
          <w:rFonts w:ascii="宋体" w:cs="Times New Roman" w:eastAsia="宋体" w:hAnsi="Times New Roman" w:hint="eastAsia"/>
          <w:kern w:val="0"/>
          <w:szCs w:val="21"/>
        </w:rPr>
        <w:t xml:space="preserve">      </w:t>
      </w:r>
      <w:r>
        <w:rPr>
          <w:rFonts w:ascii="宋体" w:cs="Times New Roman" w:eastAsia="宋体" w:hAnsi="宋体"/>
          <w:kern w:val="0"/>
          <w:szCs w:val="21"/>
        </w:rPr>
        <w:t xml:space="preserve">        </w:t>
      </w:r>
      <w:r>
        <w:rPr>
          <w:rFonts w:ascii="Times New Roman" w:cs="Times New Roman" w:eastAsia="宋体" w:hAnsi="Times New Roman" w:hint="eastAsia"/>
          <w:szCs w:val="21"/>
        </w:rPr>
        <w:t xml:space="preserve">  </w:t>
      </w:r>
      <w:r>
        <w:rPr>
          <w:rFonts w:ascii="Times New Roman" w:cs="Times New Roman" w:eastAsia="宋体" w:hAnsi="Times New Roman"/>
          <w:szCs w:val="21"/>
        </w:rPr>
        <w:t xml:space="preserve">              </w:t>
      </w:r>
    </w:p>
    <w:p w14:paraId="2BC67D2C">
      <w:pPr>
        <w:pStyle w:val="style0"/>
        <w:widowControl/>
        <w:spacing w:lineRule="exact" w:line="320"/>
        <w:ind w:left="-283" w:leftChars="-135" w:right="-199" w:rightChars="-95" w:firstLine="163" w:firstLineChars="78"/>
        <w:rPr>
          <w:rFonts w:ascii="Times New Roman" w:cs="Times New Roman" w:eastAsia="宋体" w:hAnsi="Times New Roman"/>
          <w:szCs w:val="21"/>
        </w:rPr>
      </w:pPr>
      <w:r>
        <w:rPr>
          <w:rFonts w:ascii="Times New Roman" w:cs="Times New Roman" w:eastAsia="宋体" w:hAnsi="Times New Roman"/>
          <w:szCs w:val="21"/>
        </w:rPr>
        <w:t>20</w:t>
      </w:r>
      <w:r>
        <w:rPr>
          <w:rFonts w:ascii="Times New Roman" w:cs="Times New Roman" w:eastAsia="宋体" w:hAnsi="Times New Roman" w:hint="eastAsia"/>
          <w:szCs w:val="21"/>
        </w:rPr>
        <w:t>2</w:t>
      </w:r>
      <w:r>
        <w:rPr>
          <w:rFonts w:ascii="Times New Roman" w:cs="Times New Roman" w:eastAsia="宋体" w:hAnsi="Times New Roman" w:hint="eastAsia"/>
          <w:szCs w:val="21"/>
          <w:lang w:val="en-US" w:eastAsia="zh-CN"/>
        </w:rPr>
        <w:t>5</w:t>
      </w:r>
      <w:r>
        <w:rPr>
          <w:rFonts w:ascii="Times New Roman" w:cs="Times New Roman" w:eastAsia="宋体" w:hAnsi="Times New Roman" w:hint="eastAsia"/>
          <w:szCs w:val="21"/>
        </w:rPr>
        <w:t>年</w:t>
      </w:r>
      <w:r>
        <w:rPr>
          <w:rFonts w:ascii="Times New Roman" w:cs="Times New Roman" w:eastAsia="宋体" w:hAnsi="Times New Roman" w:hint="eastAsia"/>
          <w:szCs w:val="21"/>
          <w:u w:val="single"/>
        </w:rPr>
        <w:t xml:space="preserve">    </w:t>
      </w:r>
      <w:r>
        <w:rPr>
          <w:rFonts w:ascii="Times New Roman" w:cs="Times New Roman" w:eastAsia="宋体" w:hAnsi="Times New Roman" w:hint="eastAsia"/>
          <w:szCs w:val="21"/>
        </w:rPr>
        <w:t>月</w:t>
      </w:r>
      <w:r>
        <w:rPr>
          <w:rFonts w:ascii="Times New Roman" w:cs="Times New Roman" w:eastAsia="宋体" w:hAnsi="Times New Roman" w:hint="eastAsia"/>
          <w:szCs w:val="21"/>
          <w:u w:val="single"/>
        </w:rPr>
        <w:t xml:space="preserve">   </w:t>
      </w:r>
      <w:r>
        <w:rPr>
          <w:rFonts w:ascii="Times New Roman" w:cs="Times New Roman" w:eastAsia="宋体" w:hAnsi="Times New Roman" w:hint="eastAsia"/>
          <w:szCs w:val="21"/>
        </w:rPr>
        <w:t xml:space="preserve"> 日 </w:t>
      </w:r>
      <w:r>
        <w:rPr>
          <w:rFonts w:ascii="Times New Roman" w:cs="Times New Roman" w:eastAsia="宋体" w:hAnsi="Times New Roman"/>
          <w:szCs w:val="21"/>
        </w:rPr>
        <w:t xml:space="preserve">                                     </w:t>
      </w:r>
      <w:r>
        <w:rPr>
          <w:rFonts w:ascii="Times New Roman" w:cs="Times New Roman" w:eastAsia="宋体" w:hAnsi="Times New Roman" w:hint="eastAsia"/>
          <w:szCs w:val="21"/>
        </w:rPr>
        <w:t xml:space="preserve">  202</w:t>
      </w:r>
      <w:r>
        <w:rPr>
          <w:rFonts w:ascii="Times New Roman" w:cs="Times New Roman" w:eastAsia="宋体" w:hAnsi="Times New Roman" w:hint="eastAsia"/>
          <w:szCs w:val="21"/>
          <w:lang w:val="en-US" w:eastAsia="zh-CN"/>
        </w:rPr>
        <w:t>5</w:t>
      </w:r>
      <w:r>
        <w:rPr>
          <w:rFonts w:ascii="Times New Roman" w:cs="Times New Roman" w:eastAsia="宋体" w:hAnsi="Times New Roman" w:hint="eastAsia"/>
          <w:szCs w:val="21"/>
        </w:rPr>
        <w:t>年</w:t>
      </w:r>
      <w:r>
        <w:rPr>
          <w:rFonts w:ascii="Times New Roman" w:cs="Times New Roman" w:eastAsia="宋体" w:hAnsi="Times New Roman" w:hint="eastAsia"/>
          <w:szCs w:val="21"/>
          <w:u w:val="single"/>
        </w:rPr>
        <w:t xml:space="preserve">    </w:t>
      </w:r>
      <w:r>
        <w:rPr>
          <w:rFonts w:ascii="Times New Roman" w:cs="Times New Roman" w:eastAsia="宋体" w:hAnsi="Times New Roman" w:hint="eastAsia"/>
          <w:szCs w:val="21"/>
        </w:rPr>
        <w:t>月</w:t>
      </w:r>
      <w:r>
        <w:rPr>
          <w:rFonts w:ascii="Times New Roman" w:cs="Times New Roman" w:eastAsia="宋体" w:hAnsi="Times New Roman" w:hint="eastAsia"/>
          <w:szCs w:val="21"/>
          <w:u w:val="single"/>
        </w:rPr>
        <w:t xml:space="preserve">    </w:t>
      </w:r>
      <w:r>
        <w:rPr>
          <w:rFonts w:ascii="Times New Roman" w:cs="Times New Roman" w:eastAsia="宋体" w:hAnsi="Times New Roman" w:hint="eastAsia"/>
          <w:szCs w:val="21"/>
        </w:rPr>
        <w:t>日</w:t>
      </w:r>
    </w:p>
    <w:p w14:paraId="1A411AC3">
      <w:pPr>
        <w:pStyle w:val="style0"/>
        <w:widowControl/>
        <w:snapToGrid w:val="false"/>
        <w:spacing w:lineRule="exact" w:line="360"/>
        <w:ind w:right="-199" w:rightChars="-95"/>
        <w:rPr>
          <w:rFonts w:ascii="方正小标宋简体" w:cs="微软简标宋" w:eastAsia="方正小标宋简体"/>
          <w:bCs/>
          <w:sz w:val="36"/>
          <w:szCs w:val="36"/>
        </w:rPr>
      </w:pPr>
      <w:r>
        <w:rPr>
          <w:rFonts w:ascii="宋体" w:cs="宋体" w:hAnsi="宋体"/>
          <w:kern w:val="0"/>
          <w:szCs w:val="21"/>
        </w:rPr>
        <w:t xml:space="preserve">                              </w:t>
      </w:r>
    </w:p>
    <w:sectPr>
      <w:pgSz w:w="11906" w:h="16838" w:orient="portrait"/>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01"/>
    <w:family w:val="auto"/>
    <w:pitch w:val="default"/>
    <w:sig w:usb0="E0002AFF" w:usb1="C0007841" w:usb2="00000009" w:usb3="00000000" w:csb0="400001FF" w:csb1="FFFF0000"/>
  </w:font>
  <w:font w:name="宋体">
    <w:altName w:val="宋体"/>
    <w:panose1 w:val="02010600030000010101"/>
    <w:charset w:val="50"/>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AFF" w:usb1="C0007843"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A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00002FF" w:usb1="4000ACFF" w:usb2="00000001" w:usb3="00000000" w:csb0="2000019F" w:csb1="00000000"/>
  </w:font>
  <w:font w:name="Calibri Light">
    <w:altName w:val="Calibri Light"/>
    <w:panose1 w:val="020f0302020000030204"/>
    <w:charset w:val="00"/>
    <w:family w:val="swiss"/>
    <w:pitch w:val="default"/>
    <w:sig w:usb0="A00002EF" w:usb1="4000207B" w:usb2="00000000" w:usb3="00000000" w:csb0="2000019F" w:csb1="00000000"/>
  </w:font>
  <w:font w:name="方正小标宋简体">
    <w:altName w:val="Microsoft YaHei UI"/>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altName w:val="楷体"/>
    <w:panose1 w:val="02010609060000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000010101"/>
    <w:charset w:val="86"/>
    <w:family w:val="modern"/>
    <w:pitch w:val="default"/>
    <w:sig w:usb0="00000001" w:usb1="080E0000" w:usb2="00000000" w:usb3="00000000" w:csb0="00040000" w:csb1="00000000"/>
  </w:font>
  <w:font w:name="微软雅黑">
    <w:altName w:val="微软雅黑"/>
    <w:panose1 w:val="020b0503020000020204"/>
    <w:charset w:val="86"/>
    <w:family w:val="swiss"/>
    <w:pitch w:val="default"/>
    <w:sig w:usb0="80000287" w:usb1="280F3C52" w:usb2="00000016" w:usb3="00000000" w:csb0="0004001F" w:csb1="00000000"/>
  </w:font>
  <w:font w:name="WPSEMBED1">
    <w:altName w:val="WPSEMBED1"/>
    <w:panose1 w:val="03000509000000000000"/>
    <w:charset w:val="86"/>
    <w:family w:val="auto"/>
    <w:pitch w:val="default"/>
    <w:sig w:usb0="00000001" w:usb1="080E0000" w:usb2="00000000" w:usb3="00000000" w:csb0="00040000" w:csb1="00000000"/>
  </w:font>
  <w:font w:name="WPSEMBED2">
    <w:altName w:val="WPSEMBED2"/>
    <w:panose1 w:val="02010609030000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5FDC4BC1"/>
    <w:lvl w:ilvl="0">
      <w:start w:val="2"/>
      <w:numFmt w:val="decimal"/>
      <w:suff w:val="nothing"/>
      <w:lvlText w:val="%1、"/>
      <w:lvlJc w:val="left"/>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embedTrueTypeFonts/>
  <w:saveSubset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20"/>
    <w:qFormat/>
    <w:uiPriority w:val="0"/>
    <w:pPr>
      <w:widowControl w:val="false"/>
      <w:jc w:val="both"/>
    </w:pPr>
    <w:rPr>
      <w:rFonts w:ascii="Calibri" w:cs="宋体" w:eastAsia="宋体" w:hAnsi="Calibri"/>
      <w:kern w:val="2"/>
      <w:sz w:val="21"/>
      <w:szCs w:val="22"/>
      <w:lang w:val="en-US" w:bidi="ar-SA" w:eastAsia="zh-CN"/>
    </w:rPr>
  </w:style>
  <w:style w:type="paragraph" w:styleId="style1">
    <w:name w:val="heading 1"/>
    <w:basedOn w:val="style0"/>
    <w:next w:val="style0"/>
    <w:link w:val="style4097"/>
    <w:qFormat/>
    <w:uiPriority w:val="0"/>
    <w:pPr>
      <w:keepNext/>
      <w:keepLines/>
      <w:spacing w:after="120"/>
      <w:outlineLvl w:val="0"/>
    </w:pPr>
    <w:rPr>
      <w:rFonts w:eastAsia="黑体"/>
      <w:b/>
      <w:bCs/>
      <w:kern w:val="44"/>
      <w:szCs w:val="44"/>
    </w:rPr>
  </w:style>
  <w:style w:type="paragraph" w:styleId="style3">
    <w:name w:val="heading 3"/>
    <w:basedOn w:val="style0"/>
    <w:next w:val="style0"/>
    <w:link w:val="style4106"/>
    <w:qFormat/>
    <w:uiPriority w:val="9"/>
    <w:pPr>
      <w:keepNext/>
      <w:keepLines/>
      <w:spacing w:before="260" w:after="260" w:lineRule="auto" w:line="416"/>
      <w:outlineLvl w:val="2"/>
    </w:pPr>
    <w:rPr>
      <w:b/>
      <w:bCs/>
      <w:sz w:val="32"/>
      <w:szCs w:val="32"/>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20">
    <w:name w:val="toc 2"/>
    <w:basedOn w:val="style0"/>
    <w:next w:val="style0"/>
    <w:qFormat/>
    <w:uiPriority w:val="39"/>
    <w:pPr>
      <w:ind w:left="210"/>
      <w:jc w:val="left"/>
    </w:pPr>
    <w:rPr>
      <w:smallCaps/>
    </w:rPr>
  </w:style>
  <w:style w:type="paragraph" w:styleId="style30">
    <w:name w:val="annotation text"/>
    <w:basedOn w:val="style0"/>
    <w:next w:val="style30"/>
    <w:link w:val="style4102"/>
    <w:qFormat/>
    <w:uiPriority w:val="99"/>
    <w:pPr>
      <w:jc w:val="left"/>
    </w:pPr>
    <w:rPr/>
  </w:style>
  <w:style w:type="paragraph" w:styleId="style153">
    <w:name w:val="Balloon Text"/>
    <w:basedOn w:val="style0"/>
    <w:next w:val="style153"/>
    <w:link w:val="style4104"/>
    <w:qFormat/>
    <w:uiPriority w:val="99"/>
    <w:pPr/>
    <w:rPr>
      <w:sz w:val="18"/>
      <w:szCs w:val="18"/>
    </w:rPr>
  </w:style>
  <w:style w:type="paragraph" w:styleId="style32">
    <w:name w:val="footer"/>
    <w:basedOn w:val="style0"/>
    <w:next w:val="style32"/>
    <w:link w:val="style4101"/>
    <w:qFormat/>
    <w:uiPriority w:val="99"/>
    <w:pPr>
      <w:tabs>
        <w:tab w:val="center" w:leader="none" w:pos="4153"/>
        <w:tab w:val="right" w:leader="none" w:pos="8306"/>
      </w:tabs>
      <w:snapToGrid w:val="false"/>
      <w:jc w:val="left"/>
    </w:pPr>
    <w:rPr>
      <w:sz w:val="18"/>
      <w:szCs w:val="18"/>
    </w:rPr>
  </w:style>
  <w:style w:type="paragraph" w:styleId="style31">
    <w:name w:val="header"/>
    <w:basedOn w:val="style0"/>
    <w:next w:val="style31"/>
    <w:link w:val="style4100"/>
    <w:qFormat/>
    <w:uiPriority w:val="99"/>
    <w:pPr>
      <w:pBdr>
        <w:bottom w:val="single" w:sz="6" w:space="1" w:color="auto"/>
      </w:pBdr>
      <w:tabs>
        <w:tab w:val="center" w:leader="none" w:pos="4153"/>
        <w:tab w:val="right" w:leader="none" w:pos="8306"/>
      </w:tabs>
      <w:snapToGrid w:val="false"/>
      <w:jc w:val="center"/>
    </w:pPr>
    <w:rPr>
      <w:sz w:val="18"/>
      <w:szCs w:val="18"/>
    </w:rPr>
  </w:style>
  <w:style w:type="paragraph" w:styleId="style62">
    <w:name w:val="Title"/>
    <w:basedOn w:val="style1"/>
    <w:next w:val="style0"/>
    <w:link w:val="style4099"/>
    <w:qFormat/>
    <w:uiPriority w:val="0"/>
    <w:pPr>
      <w:spacing w:before="100" w:beforeLines="100" w:lineRule="auto" w:line="360"/>
      <w:jc w:val="center"/>
    </w:pPr>
    <w:rPr>
      <w:rFonts w:ascii="Calibri Light" w:cs="宋体" w:eastAsia="方正小标宋简体" w:hAnsi="Calibri Light"/>
      <w:b w:val="false"/>
      <w:bCs w:val="false"/>
      <w:sz w:val="44"/>
      <w:szCs w:val="32"/>
    </w:rPr>
  </w:style>
  <w:style w:type="paragraph" w:styleId="style106">
    <w:name w:val="annotation subject"/>
    <w:basedOn w:val="style30"/>
    <w:next w:val="style30"/>
    <w:link w:val="style4103"/>
    <w:qFormat/>
    <w:uiPriority w:val="99"/>
    <w:pPr/>
    <w:rPr>
      <w:b/>
      <w:bCs/>
    </w:rPr>
  </w:style>
  <w:style w:type="character" w:styleId="style85">
    <w:name w:val="Hyperlink"/>
    <w:basedOn w:val="style65"/>
    <w:next w:val="style85"/>
    <w:qFormat/>
    <w:uiPriority w:val="99"/>
    <w:rPr>
      <w:color w:val="0563c1"/>
      <w:u w:val="single"/>
    </w:rPr>
  </w:style>
  <w:style w:type="character" w:styleId="style39">
    <w:name w:val="annotation reference"/>
    <w:basedOn w:val="style65"/>
    <w:next w:val="style39"/>
    <w:qFormat/>
    <w:uiPriority w:val="99"/>
    <w:rPr>
      <w:sz w:val="21"/>
      <w:szCs w:val="21"/>
    </w:rPr>
  </w:style>
  <w:style w:type="character" w:customStyle="1" w:styleId="style4097">
    <w:name w:val="标题 1 字符"/>
    <w:basedOn w:val="style65"/>
    <w:next w:val="style4097"/>
    <w:link w:val="style1"/>
    <w:qFormat/>
    <w:uiPriority w:val="0"/>
    <w:rPr>
      <w:rFonts w:eastAsia="黑体"/>
      <w:b/>
      <w:bCs/>
      <w:kern w:val="44"/>
      <w:sz w:val="32"/>
      <w:szCs w:val="44"/>
    </w:rPr>
  </w:style>
  <w:style w:type="paragraph" w:customStyle="1" w:styleId="style4098">
    <w:name w:val="小小标题"/>
    <w:basedOn w:val="style1"/>
    <w:next w:val="style4098"/>
    <w:qFormat/>
    <w:uiPriority w:val="0"/>
    <w:pPr>
      <w:ind w:firstLine="640"/>
    </w:pPr>
    <w:rPr>
      <w:rFonts w:ascii="Times New Roman" w:cs="Times New Roman" w:eastAsia="楷体_GB2312" w:hAnsi="Times New Roman"/>
    </w:rPr>
  </w:style>
  <w:style w:type="character" w:customStyle="1" w:styleId="style4099">
    <w:name w:val="标题 字符"/>
    <w:basedOn w:val="style65"/>
    <w:next w:val="style4099"/>
    <w:link w:val="style62"/>
    <w:qFormat/>
    <w:uiPriority w:val="0"/>
    <w:rPr>
      <w:rFonts w:ascii="Calibri Light" w:cs="宋体" w:eastAsia="方正小标宋简体" w:hAnsi="Calibri Light"/>
      <w:kern w:val="44"/>
      <w:sz w:val="44"/>
      <w:szCs w:val="32"/>
    </w:rPr>
  </w:style>
  <w:style w:type="character" w:customStyle="1" w:styleId="style4100">
    <w:name w:val="页眉 字符"/>
    <w:basedOn w:val="style65"/>
    <w:next w:val="style4100"/>
    <w:link w:val="style31"/>
    <w:qFormat/>
    <w:uiPriority w:val="99"/>
    <w:rPr>
      <w:sz w:val="18"/>
      <w:szCs w:val="18"/>
    </w:rPr>
  </w:style>
  <w:style w:type="character" w:customStyle="1" w:styleId="style4101">
    <w:name w:val="页脚 字符"/>
    <w:basedOn w:val="style65"/>
    <w:next w:val="style4101"/>
    <w:link w:val="style32"/>
    <w:qFormat/>
    <w:uiPriority w:val="99"/>
    <w:rPr>
      <w:sz w:val="18"/>
      <w:szCs w:val="18"/>
    </w:rPr>
  </w:style>
  <w:style w:type="character" w:customStyle="1" w:styleId="style4102">
    <w:name w:val="批注文字 字符"/>
    <w:basedOn w:val="style65"/>
    <w:next w:val="style4102"/>
    <w:link w:val="style30"/>
    <w:qFormat/>
    <w:uiPriority w:val="99"/>
  </w:style>
  <w:style w:type="character" w:customStyle="1" w:styleId="style4103">
    <w:name w:val="批注主题 字符"/>
    <w:basedOn w:val="style4102"/>
    <w:next w:val="style4103"/>
    <w:link w:val="style106"/>
    <w:qFormat/>
    <w:uiPriority w:val="99"/>
    <w:rPr>
      <w:b/>
      <w:bCs/>
    </w:rPr>
  </w:style>
  <w:style w:type="character" w:customStyle="1" w:styleId="style4104">
    <w:name w:val="批注框文本 字符"/>
    <w:basedOn w:val="style65"/>
    <w:next w:val="style4104"/>
    <w:link w:val="style153"/>
    <w:qFormat/>
    <w:uiPriority w:val="99"/>
    <w:rPr>
      <w:sz w:val="18"/>
      <w:szCs w:val="18"/>
    </w:rPr>
  </w:style>
  <w:style w:type="paragraph" w:customStyle="1" w:styleId="style4105">
    <w:name w:val="列出段落1"/>
    <w:basedOn w:val="style0"/>
    <w:next w:val="style4105"/>
    <w:qFormat/>
    <w:uiPriority w:val="34"/>
    <w:pPr>
      <w:ind w:firstLine="420" w:firstLineChars="200"/>
    </w:pPr>
    <w:rPr/>
  </w:style>
  <w:style w:type="character" w:customStyle="1" w:styleId="style4106">
    <w:name w:val="标题 3 字符"/>
    <w:basedOn w:val="style65"/>
    <w:next w:val="style4106"/>
    <w:link w:val="style3"/>
    <w:qFormat/>
    <w:uiPriority w:val="9"/>
    <w:rPr>
      <w:b/>
      <w:bCs/>
      <w:kern w:val="2"/>
      <w:sz w:val="32"/>
      <w:szCs w:val="32"/>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0A0495-BB26-4EEE-9061-502E40970CC2}">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4096</Words>
  <Pages>3</Pages>
  <Characters>4163</Characters>
  <Application>WPS Office</Application>
  <DocSecurity>0</DocSecurity>
  <Paragraphs>59</Paragraphs>
  <ScaleCrop>false</ScaleCrop>
  <Company>Microsoft</Company>
  <LinksUpToDate>false</LinksUpToDate>
  <CharactersWithSpaces>4449</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2019-10-29T05:57:00Z</dcterms:created>
  <dc:creator>wangzl</dc:creator>
  <lastModifiedBy>ALN-AL00</lastModifiedBy>
  <lastPrinted>2019-06-18T01:35:00Z</lastPrinted>
  <dcterms:modified xsi:type="dcterms:W3CDTF">2026-01-23T08:08:40Z</dcterms:modified>
  <revision>19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F96C6FC48C75424782D634FD9F633E7B_13</vt:lpwstr>
  </property>
  <property fmtid="{D5CDD505-2E9C-101B-9397-08002B2CF9AE}" pid="4" name="KSOTemplateDocerSaveRecord">
    <vt:lpwstr>eyJoZGlkIjoiZDY3MDdiYjk5NTlhYjQ4NTE4MmJhMjUwZTRiNTdkZTEiLCJ1c2VySWQiOiIxMTk4OTA2NTk1In0=</vt:lpwstr>
  </property>
</Properties>
</file>