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宋体" w:hAnsi="宋体"/>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宋体" w:hAnsi="宋体"/>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ascii="宋体" w:hAnsi="宋体" w:cs="宋体"/>
          <w:color w:val="000000"/>
          <w:kern w:val="0"/>
          <w:szCs w:val="21"/>
        </w:rPr>
        <w:t>山东产权交易中心（以下简称“中心”）：</w:t>
      </w:r>
    </w:p>
    <w:p>
      <w:pPr>
        <w:adjustRightInd w:val="0"/>
        <w:snapToGrid w:val="0"/>
        <w:spacing w:line="360" w:lineRule="exact"/>
        <w:ind w:right="-199" w:rightChars="-95" w:firstLine="420" w:firstLineChars="200"/>
        <w:rPr>
          <w:rFonts w:ascii="宋体" w:hAnsi="宋体" w:cs="宋体"/>
          <w:color w:val="000000"/>
          <w:kern w:val="0"/>
          <w:szCs w:val="21"/>
        </w:rPr>
      </w:pPr>
      <w:r>
        <w:rPr>
          <w:rFonts w:hint="eastAsia" w:ascii="宋体" w:hAnsi="宋体" w:cs="宋体"/>
          <w:color w:val="000000"/>
          <w:kern w:val="0"/>
          <w:szCs w:val="21"/>
        </w:rPr>
        <w:t>我方提出参与受让</w:t>
      </w:r>
      <w:r>
        <w:rPr>
          <w:rFonts w:hint="eastAsia" w:ascii="宋体" w:hAnsi="宋体" w:cs="宋体"/>
          <w:color w:val="000000"/>
          <w:kern w:val="0"/>
          <w:szCs w:val="21"/>
          <w:u w:val="single"/>
        </w:rPr>
        <w:t xml:space="preserve"> </w:t>
      </w:r>
      <w:r>
        <w:rPr>
          <w:rFonts w:hint="default" w:ascii="宋体" w:hAnsi="宋体" w:cs="宋体"/>
          <w:b/>
          <w:bCs/>
          <w:color w:val="000000"/>
          <w:kern w:val="0"/>
          <w:szCs w:val="21"/>
          <w:u w:val="single"/>
          <w:lang w:val="en-US"/>
        </w:rPr>
        <w:t>中油金鸿华北投资管理有限公司债权</w:t>
      </w:r>
      <w:r>
        <w:rPr>
          <w:rFonts w:hint="eastAsia" w:ascii="宋体" w:hAnsi="宋体" w:cs="宋体"/>
          <w:b/>
          <w:bCs/>
          <w:color w:val="000000"/>
          <w:kern w:val="0"/>
          <w:szCs w:val="21"/>
          <w:u w:val="single"/>
        </w:rPr>
        <w:t xml:space="preserve"> </w:t>
      </w:r>
      <w:r>
        <w:rPr>
          <w:rFonts w:hint="eastAsia" w:ascii="宋体" w:hAnsi="宋体" w:cs="宋体"/>
          <w:color w:val="000000"/>
          <w:kern w:val="0"/>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宋体" w:hAnsi="宋体"/>
          <w:szCs w:val="21"/>
        </w:rPr>
      </w:pPr>
      <w:r>
        <w:rPr>
          <w:rFonts w:hint="eastAsia" w:ascii="宋体" w:hAnsi="宋体" w:cs="仿宋_GB2312"/>
          <w:szCs w:val="21"/>
        </w:rPr>
        <w:t>一、本项目《资产受让须知与承诺》（以下简称“《须知》”）依据</w:t>
      </w:r>
      <w:r>
        <w:rPr>
          <w:rFonts w:hint="eastAsia" w:ascii="宋体" w:hAnsi="宋体" w:cs="宋体"/>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ascii="宋体" w:hAnsi="宋体" w:cs="宋体"/>
          <w:kern w:val="0"/>
          <w:szCs w:val="21"/>
        </w:rPr>
        <w:t>《山东产权交易中心网络竞价实施办法》和《山东产权交易中心动态报价实施办法》制定</w:t>
      </w:r>
      <w:r>
        <w:rPr>
          <w:rFonts w:hint="eastAsia" w:ascii="宋体" w:hAnsi="宋体" w:cs="仿宋_GB2312"/>
          <w:szCs w:val="21"/>
        </w:rPr>
        <w:t>。适用于交易方式为网络竞价或动态报价的资产转让项目。</w:t>
      </w:r>
    </w:p>
    <w:p>
      <w:pPr>
        <w:widowControl/>
        <w:spacing w:line="360" w:lineRule="exact"/>
        <w:ind w:right="-199" w:rightChars="-95" w:firstLine="411" w:firstLineChars="196"/>
        <w:rPr>
          <w:rFonts w:ascii="宋体" w:hAnsi="宋体" w:cs="宋体"/>
          <w:kern w:val="0"/>
          <w:szCs w:val="21"/>
        </w:rPr>
      </w:pPr>
      <w:r>
        <w:rPr>
          <w:rFonts w:hint="eastAsia" w:ascii="宋体" w:hAnsi="宋体" w:cs="宋体"/>
          <w:kern w:val="0"/>
          <w:szCs w:val="21"/>
        </w:rPr>
        <w:t>二、本项目通过转让公告（以下所指公告均以山东产权交易中心网站</w:t>
      </w:r>
      <w:r>
        <w:rPr>
          <w:rFonts w:hint="eastAsia" w:ascii="宋体" w:hAnsi="宋体" w:cs="宋体"/>
          <w:kern w:val="0"/>
          <w:szCs w:val="21"/>
          <w:u w:val="single"/>
        </w:rPr>
        <w:t xml:space="preserve"> </w:t>
      </w:r>
      <w:r>
        <w:fldChar w:fldCharType="begin"/>
      </w:r>
      <w:r>
        <w:instrText xml:space="preserve"> HYPERLINK "http://www.sdcqjy.com" </w:instrText>
      </w:r>
      <w:r>
        <w:fldChar w:fldCharType="separate"/>
      </w:r>
      <w:r>
        <w:rPr>
          <w:rStyle w:val="12"/>
          <w:rFonts w:ascii="宋体" w:hAnsi="宋体" w:cs="宋体"/>
          <w:color w:val="auto"/>
          <w:kern w:val="0"/>
          <w:szCs w:val="21"/>
        </w:rPr>
        <w:t>www.sdcqjy.com</w:t>
      </w:r>
      <w:r>
        <w:rPr>
          <w:rStyle w:val="12"/>
          <w:rFonts w:ascii="宋体" w:hAnsi="宋体" w:cs="宋体"/>
          <w:color w:val="auto"/>
          <w:kern w:val="0"/>
          <w:szCs w:val="21"/>
        </w:rPr>
        <w:fldChar w:fldCharType="end"/>
      </w:r>
      <w:r>
        <w:rPr>
          <w:rStyle w:val="12"/>
          <w:rFonts w:hint="eastAsia" w:ascii="宋体" w:hAnsi="宋体" w:cs="宋体"/>
          <w:color w:val="auto"/>
          <w:kern w:val="0"/>
          <w:szCs w:val="21"/>
        </w:rPr>
        <w:t xml:space="preserve"> </w:t>
      </w:r>
      <w:r>
        <w:rPr>
          <w:rFonts w:hint="eastAsia" w:ascii="宋体" w:hAnsi="宋体" w:cs="宋体"/>
          <w:kern w:val="0"/>
          <w:szCs w:val="21"/>
        </w:rPr>
        <w:t>披露内容为准）披露的交易方式确定受让方，本次网络竞价活动（含动态报价）由山东产权交易中心有限公司（以下简称“产权中心”）组织实施。公告</w:t>
      </w:r>
      <w:r>
        <w:rPr>
          <w:rFonts w:ascii="宋体" w:hAnsi="宋体" w:cs="宋体"/>
          <w:kern w:val="0"/>
          <w:szCs w:val="21"/>
        </w:rPr>
        <w:t>期满</w:t>
      </w:r>
      <w:r>
        <w:rPr>
          <w:rFonts w:hint="eastAsia" w:ascii="宋体" w:hAnsi="宋体" w:cs="宋体"/>
          <w:kern w:val="0"/>
          <w:szCs w:val="21"/>
        </w:rPr>
        <w:t>，</w:t>
      </w:r>
      <w:r>
        <w:rPr>
          <w:rFonts w:ascii="宋体" w:hAnsi="宋体" w:cs="宋体"/>
          <w:kern w:val="0"/>
          <w:szCs w:val="21"/>
        </w:rPr>
        <w:t>只产生一个符合条件的意向受让方的</w:t>
      </w:r>
      <w:r>
        <w:rPr>
          <w:rFonts w:hint="eastAsia" w:ascii="宋体" w:hAnsi="宋体" w:cs="宋体"/>
          <w:kern w:val="0"/>
          <w:szCs w:val="21"/>
        </w:rPr>
        <w:t>，产权中心</w:t>
      </w:r>
      <w:r>
        <w:rPr>
          <w:rFonts w:ascii="宋体" w:hAnsi="宋体" w:cs="宋体"/>
          <w:kern w:val="0"/>
          <w:szCs w:val="21"/>
        </w:rPr>
        <w:t>采取协议方式组织交易；</w:t>
      </w:r>
      <w:r>
        <w:rPr>
          <w:rFonts w:hint="eastAsia" w:ascii="宋体" w:hAnsi="宋体" w:cs="宋体"/>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ascii="宋体" w:hAnsi="宋体" w:cs="宋体"/>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四、意向受让方应按公告要求的有效报名时间段内</w:t>
      </w:r>
      <w:r>
        <w:rPr>
          <w:rFonts w:hint="eastAsia" w:ascii="宋体" w:hAnsi="宋体" w:cs="宋体"/>
          <w:kern w:val="0"/>
          <w:szCs w:val="21"/>
          <w:lang w:eastAsia="zh-CN"/>
        </w:rPr>
        <w:t>自行或</w:t>
      </w:r>
      <w:r>
        <w:rPr>
          <w:rFonts w:hint="eastAsia" w:ascii="宋体" w:hAnsi="宋体" w:cs="宋体"/>
          <w:kern w:val="0"/>
          <w:szCs w:val="21"/>
        </w:rPr>
        <w:t>委托经纪机构</w:t>
      </w:r>
      <w:r>
        <w:rPr>
          <w:rFonts w:hint="eastAsia" w:ascii="宋体" w:hAnsi="宋体" w:cs="宋体"/>
          <w:kern w:val="0"/>
          <w:szCs w:val="21"/>
          <w:u w:val="single"/>
          <w:lang w:val="en-US" w:eastAsia="zh-CN"/>
        </w:rPr>
        <w:t xml:space="preserve">            </w:t>
      </w:r>
      <w:r>
        <w:rPr>
          <w:rFonts w:hint="eastAsia" w:ascii="宋体" w:hAnsi="宋体" w:cs="宋体"/>
          <w:kern w:val="0"/>
          <w:szCs w:val="21"/>
        </w:rPr>
        <w:t xml:space="preserve">办理报名登记手续，并按照公告的提示提交报名材料。 </w:t>
      </w:r>
      <w:r>
        <w:rPr>
          <w:rFonts w:ascii="宋体" w:hAnsi="宋体" w:cs="宋体"/>
          <w:kern w:val="0"/>
          <w:szCs w:val="21"/>
        </w:rPr>
        <w:t xml:space="preserve"> </w:t>
      </w:r>
      <w:r>
        <w:rPr>
          <w:rFonts w:hint="eastAsia" w:ascii="微软雅黑" w:hAnsi="微软雅黑" w:eastAsia="微软雅黑"/>
          <w:szCs w:val="21"/>
        </w:rPr>
        <w:t> </w:t>
      </w:r>
    </w:p>
    <w:p>
      <w:pPr>
        <w:widowControl/>
        <w:spacing w:line="320" w:lineRule="exact"/>
        <w:ind w:right="-199" w:rightChars="-95" w:firstLine="420" w:firstLineChars="200"/>
        <w:rPr>
          <w:rFonts w:ascii="宋体" w:hAnsi="宋体" w:eastAsia="宋体" w:cs="宋体"/>
          <w:b/>
          <w:bCs/>
          <w:color w:val="FF0000"/>
          <w:kern w:val="0"/>
          <w:szCs w:val="21"/>
        </w:rPr>
      </w:pPr>
      <w:r>
        <w:rPr>
          <w:rFonts w:hint="eastAsia" w:ascii="宋体" w:hAnsi="宋体" w:cs="宋体"/>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pPr>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ascii="宋体" w:hAnsi="宋体" w:cs="宋体"/>
          <w:kern w:val="0"/>
          <w:szCs w:val="21"/>
        </w:rPr>
        <w:t>七、本项目标的信息详情见公告披露信息。</w:t>
      </w:r>
      <w:r>
        <w:rPr>
          <w:rFonts w:hint="eastAsia" w:ascii="宋体" w:hAnsi="宋体"/>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宋体" w:hAnsi="宋体"/>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宋体" w:hAnsi="宋体"/>
          <w:szCs w:val="21"/>
        </w:rPr>
      </w:pPr>
      <w:r>
        <w:rPr>
          <w:rFonts w:hint="eastAsia" w:ascii="宋体" w:hAnsi="宋体"/>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十一、意向受让方须同意以不低于转让底价（即挂牌价格）购买在产权中心公开挂牌转让的</w:t>
      </w:r>
      <w:r>
        <w:rPr>
          <w:rFonts w:hint="eastAsia" w:ascii="宋体" w:hAnsi="宋体" w:cs="宋体"/>
          <w:kern w:val="0"/>
          <w:szCs w:val="21"/>
          <w:u w:val="single"/>
        </w:rPr>
        <w:t>本</w:t>
      </w:r>
      <w:r>
        <w:rPr>
          <w:rFonts w:hint="eastAsia" w:ascii="宋体" w:hAnsi="宋体" w:cs="宋体"/>
          <w:kern w:val="0"/>
          <w:szCs w:val="21"/>
        </w:rPr>
        <w:t>项目。</w:t>
      </w:r>
    </w:p>
    <w:p>
      <w:pPr>
        <w:widowControl/>
        <w:adjustRightInd w:val="0"/>
        <w:snapToGrid w:val="0"/>
        <w:spacing w:line="380" w:lineRule="atLeast"/>
        <w:ind w:right="-199" w:rightChars="-95" w:firstLine="490"/>
        <w:jc w:val="left"/>
        <w:rPr>
          <w:rFonts w:ascii="宋体" w:hAnsi="宋体" w:cs="宋体"/>
          <w:kern w:val="0"/>
          <w:szCs w:val="21"/>
        </w:rPr>
      </w:pPr>
      <w:r>
        <w:rPr>
          <w:rFonts w:hint="eastAsia" w:ascii="宋体" w:hAnsi="宋体" w:cs="宋体"/>
          <w:kern w:val="0"/>
          <w:szCs w:val="21"/>
        </w:rPr>
        <w:t>十二、竞价规则：</w:t>
      </w:r>
    </w:p>
    <w:p>
      <w:pPr>
        <w:adjustRightInd w:val="0"/>
        <w:snapToGrid w:val="0"/>
        <w:spacing w:line="360" w:lineRule="exact"/>
        <w:ind w:firstLine="420" w:firstLineChars="200"/>
        <w:jc w:val="left"/>
        <w:rPr>
          <w:rFonts w:ascii="宋体" w:hAnsi="宋体" w:cs="宋体"/>
          <w:kern w:val="0"/>
          <w:szCs w:val="21"/>
        </w:rPr>
      </w:pPr>
      <w:r>
        <w:rPr>
          <w:rFonts w:hint="eastAsia" w:ascii="宋体" w:hAnsi="宋体" w:eastAsia="宋体" w:cs="仿宋_GB2312"/>
          <w:szCs w:val="21"/>
        </w:rPr>
        <w:t>1、</w:t>
      </w:r>
      <w:r>
        <w:rPr>
          <w:rFonts w:hint="eastAsia" w:ascii="宋体" w:hAnsi="宋体" w:cs="宋体"/>
          <w:kern w:val="0"/>
          <w:szCs w:val="21"/>
        </w:rPr>
        <w:t>交易方式为网络竞价的，如公告</w:t>
      </w:r>
      <w:r>
        <w:rPr>
          <w:rFonts w:ascii="宋体" w:hAnsi="宋体" w:cs="宋体"/>
          <w:kern w:val="0"/>
          <w:szCs w:val="21"/>
        </w:rPr>
        <w:t>期满</w:t>
      </w:r>
      <w:r>
        <w:rPr>
          <w:rFonts w:hint="eastAsia" w:ascii="宋体" w:hAnsi="宋体" w:cs="宋体"/>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ascii="宋体" w:hAnsi="宋体" w:cs="宋体"/>
          <w:b/>
          <w:bCs/>
          <w:kern w:val="0"/>
          <w:szCs w:val="21"/>
        </w:rPr>
      </w:pPr>
      <w:r>
        <w:rPr>
          <w:rFonts w:hint="eastAsia" w:ascii="宋体" w:hAnsi="宋体" w:cs="宋体"/>
          <w:kern w:val="0"/>
          <w:szCs w:val="21"/>
        </w:rPr>
        <w:t>竞价过程中以挂牌价格为起始价格，网络竞价开始时间及加价幅度另行通知。竞价过程由多个连续报价周期组成，</w:t>
      </w:r>
      <w:r>
        <w:rPr>
          <w:rFonts w:hint="eastAsia" w:ascii="宋体" w:hAnsi="宋体" w:cs="宋体"/>
          <w:b/>
          <w:bCs/>
          <w:kern w:val="0"/>
          <w:szCs w:val="21"/>
        </w:rPr>
        <w:t>每个报价周期为</w:t>
      </w:r>
      <w:r>
        <w:rPr>
          <w:rFonts w:hint="eastAsia" w:ascii="宋体" w:hAnsi="宋体" w:cs="宋体"/>
          <w:b/>
          <w:bCs/>
          <w:kern w:val="0"/>
          <w:szCs w:val="21"/>
          <w:lang w:val="en-US" w:eastAsia="zh-CN"/>
        </w:rPr>
        <w:t>3</w:t>
      </w:r>
      <w:r>
        <w:rPr>
          <w:rFonts w:hint="eastAsia" w:ascii="宋体" w:hAnsi="宋体" w:cs="宋体"/>
          <w:b/>
          <w:bCs/>
          <w:kern w:val="0"/>
          <w:szCs w:val="21"/>
        </w:rPr>
        <w:t xml:space="preserve">分钟（即 </w:t>
      </w:r>
      <w:r>
        <w:rPr>
          <w:rFonts w:hint="eastAsia" w:ascii="宋体" w:hAnsi="宋体" w:cs="宋体"/>
          <w:b/>
          <w:bCs/>
          <w:kern w:val="0"/>
          <w:szCs w:val="21"/>
          <w:lang w:val="en-US" w:eastAsia="zh-CN"/>
        </w:rPr>
        <w:t>180</w:t>
      </w:r>
      <w:r>
        <w:rPr>
          <w:rFonts w:hint="eastAsia" w:ascii="宋体" w:hAnsi="宋体" w:cs="宋体"/>
          <w:b/>
          <w:bCs/>
          <w:kern w:val="0"/>
          <w:szCs w:val="21"/>
        </w:rPr>
        <w:t>秒）</w:t>
      </w:r>
      <w:r>
        <w:rPr>
          <w:rFonts w:hint="eastAsia" w:ascii="宋体" w:hAnsi="宋体" w:cs="宋体"/>
          <w:kern w:val="0"/>
          <w:szCs w:val="21"/>
        </w:rPr>
        <w:t>。在每个报价周期内，如出现新的有效报价，则进入新的报价周期；在一个报价周期内如未出现新的有效报价，则当前有效报价方成为本次交易的受让方。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网络竞价加价规则：</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ascii="宋体" w:hAnsi="宋体" w:cs="宋体"/>
          <w:kern w:val="0"/>
          <w:szCs w:val="21"/>
        </w:rPr>
      </w:pPr>
      <w:r>
        <w:rPr>
          <w:rFonts w:hint="eastAsia" w:ascii="宋体" w:hAnsi="宋体" w:cs="宋体"/>
          <w:kern w:val="0"/>
          <w:szCs w:val="21"/>
        </w:rPr>
        <w:t>如信息公告期满，只产生一个意向受让方的，产权中心组织交易双方按照竞买人报价与转让底价孰高原则</w:t>
      </w:r>
      <w:bookmarkStart w:id="0" w:name="_GoBack"/>
      <w:bookmarkEnd w:id="0"/>
      <w:r>
        <w:rPr>
          <w:rFonts w:hint="eastAsia" w:ascii="宋体" w:hAnsi="宋体" w:cs="宋体"/>
          <w:kern w:val="0"/>
          <w:szCs w:val="21"/>
        </w:rPr>
        <w:t>直接签订《</w:t>
      </w:r>
      <w:r>
        <w:rPr>
          <w:rFonts w:hint="eastAsia" w:ascii="宋体" w:hAnsi="宋体" w:cs="宋体"/>
          <w:b/>
          <w:bCs/>
          <w:kern w:val="0"/>
          <w:szCs w:val="21"/>
        </w:rPr>
        <w:t>债权转让协议</w:t>
      </w:r>
      <w:r>
        <w:rPr>
          <w:rFonts w:hint="eastAsia" w:ascii="宋体" w:hAnsi="宋体" w:cs="宋体"/>
          <w:kern w:val="0"/>
          <w:szCs w:val="21"/>
        </w:rPr>
        <w:t>》。</w:t>
      </w:r>
    </w:p>
    <w:p>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cs="宋体"/>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eastAsia="宋体" w:cs="Times New Roman"/>
          <w:b/>
          <w:bCs/>
          <w:kern w:val="0"/>
          <w:szCs w:val="21"/>
          <w:lang w:val="en-US" w:eastAsia="zh-CN"/>
        </w:rPr>
        <w:t>5</w:t>
      </w:r>
      <w:r>
        <w:rPr>
          <w:rFonts w:hint="eastAsia" w:ascii="宋体" w:hAnsi="宋体" w:eastAsia="宋体" w:cs="Times New Roman"/>
          <w:b/>
          <w:bCs/>
          <w:kern w:val="0"/>
          <w:szCs w:val="21"/>
        </w:rPr>
        <w:t>分钟（即</w:t>
      </w:r>
      <w:r>
        <w:rPr>
          <w:rFonts w:hint="eastAsia" w:ascii="宋体" w:hAnsi="宋体" w:eastAsia="宋体" w:cs="Times New Roman"/>
          <w:b/>
          <w:bCs/>
          <w:kern w:val="0"/>
          <w:szCs w:val="21"/>
          <w:lang w:val="en-US" w:eastAsia="zh-CN"/>
        </w:rPr>
        <w:t>300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Times New Roman"/>
          <w:b/>
          <w:bCs/>
          <w:szCs w:val="21"/>
        </w:rPr>
        <w:t>交易费用</w:t>
      </w:r>
      <w:r>
        <w:rPr>
          <w:rFonts w:hint="default"/>
          <w:b/>
          <w:bCs/>
          <w:lang w:val="en-US"/>
        </w:rPr>
        <w:t>按照成交金额进行阶梯计算，10000万元以下(含)按照 0.1%收取；10000万元-50000万元按照(含)按照 0.08%收取；50000万元以上按照0.05%</w:t>
      </w:r>
      <w:r>
        <w:rPr>
          <w:rFonts w:hint="eastAsia" w:ascii="宋体" w:hAnsi="宋体" w:eastAsia="宋体" w:cs="Times New Roman"/>
          <w:b/>
          <w:bCs/>
          <w:szCs w:val="21"/>
        </w:rPr>
        <w:t>收取</w:t>
      </w:r>
      <w:r>
        <w:rPr>
          <w:rFonts w:hint="default" w:ascii="宋体" w:hAnsi="宋体" w:eastAsia="宋体" w:cs="Times New Roman"/>
          <w:b/>
          <w:bCs/>
          <w:szCs w:val="21"/>
          <w:lang w:val="en-US"/>
        </w:rPr>
        <w:t>。</w:t>
      </w:r>
    </w:p>
    <w:p>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十四、受让方的保证金转为履约保证金。未购买成功且无违约责任的意向受让方，产权中心于确定受让方后2个工作日内将其保证金无息退还。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宋体" w:hAnsi="宋体"/>
          <w:kern w:val="0"/>
          <w:szCs w:val="21"/>
        </w:rPr>
      </w:pPr>
      <w:r>
        <w:rPr>
          <w:rFonts w:hint="eastAsia" w:ascii="宋体" w:hAnsi="宋体" w:cs="宋体"/>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ascii="宋体" w:hAnsi="宋体" w:cs="宋体"/>
          <w:kern w:val="0"/>
          <w:sz w:val="13"/>
          <w:szCs w:val="13"/>
        </w:rPr>
      </w:pPr>
      <w:r>
        <w:rPr>
          <w:rFonts w:hint="eastAsia" w:ascii="宋体" w:hAnsi="宋体" w:cs="宋体"/>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ascii="宋体" w:hAnsi="宋体" w:cs="宋体"/>
          <w:b/>
          <w:bCs/>
          <w:kern w:val="0"/>
          <w:szCs w:val="21"/>
        </w:rPr>
      </w:pPr>
      <w:r>
        <w:rPr>
          <w:rFonts w:hint="eastAsia" w:ascii="宋体" w:hAnsi="宋体" w:cs="宋体"/>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宋体" w:hAnsi="宋体"/>
          <w:szCs w:val="21"/>
        </w:rPr>
      </w:pPr>
      <w:r>
        <w:rPr>
          <w:rFonts w:hint="eastAsia" w:ascii="宋体" w:hAnsi="宋体" w:cs="宋体"/>
          <w:kern w:val="0"/>
          <w:szCs w:val="21"/>
        </w:rPr>
        <w:t>十七、</w:t>
      </w:r>
      <w:r>
        <w:rPr>
          <w:rFonts w:hint="eastAsia" w:ascii="宋体" w:hAnsi="宋体"/>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宋体" w:hAnsi="宋体"/>
          <w:kern w:val="0"/>
          <w:szCs w:val="21"/>
        </w:rPr>
      </w:pPr>
      <w:r>
        <w:rPr>
          <w:rFonts w:hint="eastAsia" w:ascii="宋体" w:hAnsi="宋体" w:cs="宋体"/>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宋体" w:hAnsi="宋体"/>
          <w:kern w:val="0"/>
          <w:szCs w:val="21"/>
        </w:rPr>
      </w:pPr>
      <w:r>
        <w:rPr>
          <w:rFonts w:ascii="宋体" w:hAnsi="宋体" w:cs="宋体"/>
          <w:kern w:val="0"/>
          <w:szCs w:val="21"/>
        </w:rPr>
        <w:t>1</w:t>
      </w:r>
      <w:r>
        <w:rPr>
          <w:rFonts w:hint="eastAsia" w:ascii="宋体" w:hAnsi="宋体" w:cs="宋体"/>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宋体" w:hAnsi="宋体"/>
          <w:kern w:val="0"/>
          <w:szCs w:val="21"/>
        </w:rPr>
      </w:pPr>
      <w:r>
        <w:rPr>
          <w:rFonts w:ascii="宋体" w:hAnsi="宋体" w:cs="宋体"/>
          <w:kern w:val="0"/>
          <w:szCs w:val="21"/>
        </w:rPr>
        <w:t>2</w:t>
      </w:r>
      <w:r>
        <w:rPr>
          <w:rFonts w:hint="eastAsia" w:ascii="宋体" w:hAnsi="宋体" w:cs="宋体"/>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ascii="宋体" w:hAnsi="宋体" w:cs="宋体"/>
          <w:kern w:val="0"/>
          <w:szCs w:val="21"/>
        </w:rPr>
      </w:pPr>
      <w:r>
        <w:rPr>
          <w:rFonts w:ascii="宋体" w:hAnsi="宋体" w:cs="宋体"/>
          <w:kern w:val="0"/>
          <w:szCs w:val="21"/>
        </w:rPr>
        <w:t>3</w:t>
      </w:r>
      <w:r>
        <w:rPr>
          <w:rFonts w:hint="eastAsia" w:ascii="宋体" w:hAnsi="宋体" w:cs="宋体"/>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ascii="宋体" w:hAnsi="宋体" w:cs="宋体"/>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宋体" w:hAnsi="宋体"/>
          <w:kern w:val="0"/>
          <w:szCs w:val="21"/>
        </w:rPr>
      </w:pPr>
      <w:r>
        <w:rPr>
          <w:rFonts w:hint="eastAsia" w:ascii="宋体" w:hAnsi="宋体" w:cs="宋体"/>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ascii="宋体" w:hAnsi="宋体" w:cs="宋体"/>
          <w:kern w:val="0"/>
          <w:szCs w:val="21"/>
        </w:rPr>
      </w:pPr>
      <w:r>
        <w:rPr>
          <w:rFonts w:hint="eastAsia" w:ascii="宋体" w:hAnsi="宋体" w:cs="宋体"/>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cs="宋体"/>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ascii="宋体" w:hAnsi="宋体" w:cs="宋体"/>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cs="宋体"/>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ascii="宋体" w:hAnsi="宋体" w:cs="宋体"/>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宋体" w:hAnsi="宋体"/>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ascii="宋体" w:hAnsi="宋体" w:cs="宋体"/>
          <w:kern w:val="0"/>
          <w:szCs w:val="21"/>
        </w:rPr>
      </w:pPr>
    </w:p>
    <w:p>
      <w:pPr>
        <w:widowControl/>
        <w:spacing w:line="320" w:lineRule="exact"/>
        <w:ind w:left="-283" w:leftChars="-135" w:right="-199" w:rightChars="-95" w:firstLine="163" w:firstLineChars="78"/>
        <w:rPr>
          <w:rFonts w:ascii="宋体" w:hAnsi="宋体" w:cs="宋体"/>
          <w:kern w:val="0"/>
          <w:szCs w:val="21"/>
        </w:rPr>
      </w:pPr>
      <w:r>
        <w:rPr>
          <w:rFonts w:ascii="宋体" w:hAnsi="宋体" w:cs="宋体"/>
          <w:kern w:val="0"/>
          <w:szCs w:val="21"/>
        </w:rPr>
        <w:t xml:space="preserve">          </w:t>
      </w:r>
    </w:p>
    <w:p>
      <w:pPr>
        <w:widowControl/>
        <w:spacing w:line="320" w:lineRule="exact"/>
        <w:ind w:left="-283" w:leftChars="-135" w:right="-199" w:rightChars="-95" w:firstLine="163" w:firstLineChars="78"/>
      </w:pP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b/>
          <w:kern w:val="0"/>
          <w:szCs w:val="21"/>
        </w:rPr>
        <w:t xml:space="preserve">□ 承诺方为企业法人或其他经济组织的： </w:t>
      </w:r>
      <w:r>
        <w:t xml:space="preserve">                   </w:t>
      </w:r>
      <w:r>
        <w:rPr>
          <w:rFonts w:hint="eastAsia" w:ascii="宋体" w:hAnsi="宋体" w:cs="宋体"/>
          <w:b/>
          <w:kern w:val="0"/>
          <w:szCs w:val="21"/>
        </w:rPr>
        <w:t>□ 承诺方为自然人的：</w:t>
      </w:r>
    </w:p>
    <w:p>
      <w:pPr>
        <w:widowControl/>
        <w:spacing w:line="320" w:lineRule="exact"/>
        <w:ind w:left="-283" w:leftChars="-135" w:right="-199" w:rightChars="-95" w:firstLine="163" w:firstLineChars="78"/>
        <w:rPr>
          <w:rFonts w:ascii="宋体" w:hAnsi="宋体"/>
          <w:kern w:val="0"/>
          <w:szCs w:val="21"/>
        </w:rPr>
      </w:pPr>
    </w:p>
    <w:p>
      <w:pPr>
        <w:widowControl/>
        <w:spacing w:line="320" w:lineRule="exact"/>
        <w:ind w:left="-283" w:leftChars="-135" w:right="-199" w:rightChars="-95" w:firstLine="163" w:firstLineChars="78"/>
        <w:rPr>
          <w:rFonts w:ascii="宋体" w:hAnsi="宋体"/>
          <w:kern w:val="0"/>
          <w:szCs w:val="21"/>
          <w:u w:val="single"/>
        </w:rPr>
      </w:pPr>
      <w:r>
        <w:rPr>
          <w:rFonts w:hint="eastAsia" w:ascii="宋体" w:hAnsi="宋体" w:cs="宋体"/>
          <w:kern w:val="0"/>
          <w:szCs w:val="21"/>
        </w:rPr>
        <w:t>承诺方（盖章）：</w:t>
      </w:r>
      <w:r>
        <w:rPr>
          <w:rFonts w:hint="eastAsia" w:ascii="宋体" w:hAnsi="宋体"/>
          <w:kern w:val="0"/>
          <w:szCs w:val="21"/>
          <w:u w:val="single"/>
        </w:rPr>
        <w:t xml:space="preserve">          </w:t>
      </w:r>
      <w:r>
        <w:rPr>
          <w:rFonts w:ascii="宋体" w:hAnsi="宋体"/>
          <w:kern w:val="0"/>
          <w:szCs w:val="21"/>
          <w:u w:val="single"/>
        </w:rPr>
        <w:t xml:space="preserve">   </w:t>
      </w:r>
      <w:r>
        <w:rPr>
          <w:rFonts w:ascii="宋体" w:hAnsi="宋体"/>
          <w:kern w:val="0"/>
          <w:szCs w:val="21"/>
        </w:rPr>
        <w:t> </w:t>
      </w:r>
      <w:r>
        <w:rPr>
          <w:rFonts w:hint="eastAsia" w:ascii="宋体" w:hAnsi="宋体"/>
          <w:kern w:val="0"/>
          <w:szCs w:val="21"/>
        </w:rPr>
        <w:t xml:space="preserve">        </w:t>
      </w:r>
      <w:r>
        <w:rPr>
          <w:rFonts w:ascii="宋体" w:hAnsi="宋体"/>
          <w:kern w:val="0"/>
          <w:szCs w:val="21"/>
        </w:rPr>
        <w:t xml:space="preserve">                   </w:t>
      </w:r>
      <w:r>
        <w:rPr>
          <w:rFonts w:hint="eastAsia" w:ascii="宋体" w:hAnsi="宋体"/>
          <w:kern w:val="0"/>
          <w:szCs w:val="21"/>
        </w:rPr>
        <w:t>承诺方（签字、手印）</w:t>
      </w:r>
      <w:r>
        <w:rPr>
          <w:rFonts w:hint="eastAsia" w:ascii="宋体" w:hAnsi="宋体"/>
          <w:kern w:val="0"/>
          <w:szCs w:val="21"/>
          <w:u w:val="single"/>
        </w:rPr>
        <w:t xml:space="preserve"> </w:t>
      </w:r>
      <w:r>
        <w:rPr>
          <w:rFonts w:ascii="宋体" w:hAnsi="宋体"/>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宋体" w:hAnsi="宋体"/>
          <w:kern w:val="0"/>
          <w:szCs w:val="21"/>
        </w:rPr>
        <w:t>法定</w:t>
      </w:r>
      <w:r>
        <w:rPr>
          <w:rFonts w:hint="eastAsia" w:ascii="宋体" w:hAnsi="宋体" w:cs="宋体"/>
          <w:kern w:val="0"/>
          <w:szCs w:val="21"/>
        </w:rPr>
        <w:t>代表人/授权代表人（签字）：</w:t>
      </w:r>
      <w:r>
        <w:rPr>
          <w:rFonts w:hint="eastAsia" w:ascii="宋体" w:hAnsi="宋体"/>
          <w:kern w:val="0"/>
          <w:szCs w:val="21"/>
          <w:u w:val="single"/>
        </w:rPr>
        <w:t xml:space="preserve">      </w:t>
      </w:r>
      <w:r>
        <w:rPr>
          <w:rFonts w:ascii="宋体" w:hAnsi="宋体"/>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ascii="宋体" w:hAnsi="宋体" w:cs="宋体"/>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1" w:fontKey="{29A59F2B-BA87-41AC-8BF6-D3FB5262E662}"/>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embedRegular r:id="rId2" w:fontKey="{DCF9CE10-D32D-448F-8E5B-AE4C15E37428}"/>
  </w:font>
  <w:font w:name="仿宋_GB2312">
    <w:panose1 w:val="02010609030101010101"/>
    <w:charset w:val="86"/>
    <w:family w:val="modern"/>
    <w:pitch w:val="default"/>
    <w:sig w:usb0="00000001" w:usb1="080E0000" w:usb2="00000000" w:usb3="00000000" w:csb0="00040000" w:csb1="00000000"/>
    <w:embedRegular r:id="rId3" w:fontKey="{BE281AD6-4F76-4767-AF79-D816D347B3BD}"/>
  </w:font>
  <w:font w:name="微软雅黑">
    <w:panose1 w:val="020B0503020204020204"/>
    <w:charset w:val="86"/>
    <w:family w:val="swiss"/>
    <w:pitch w:val="default"/>
    <w:sig w:usb0="80000287" w:usb1="2ACF3C50" w:usb2="00000016" w:usb3="00000000" w:csb0="0004001F" w:csb1="00000000"/>
    <w:embedRegular r:id="rId4" w:fontKey="{B47DA73A-DE03-4661-A9DD-A0680CF6993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0E54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qFormat/>
    <w:uiPriority w:val="9"/>
    <w:pPr>
      <w:keepNext/>
      <w:keepLines/>
      <w:spacing w:before="260" w:after="260" w:line="416" w:lineRule="auto"/>
      <w:outlineLvl w:val="2"/>
    </w:pPr>
    <w:rPr>
      <w:b/>
      <w:bCs/>
      <w:sz w:val="32"/>
      <w:szCs w:val="32"/>
    </w:rPr>
  </w:style>
  <w:style w:type="character" w:default="1" w:styleId="11">
    <w:name w:val="Default Paragraph Font"/>
    <w:qFormat/>
    <w:uiPriority w:val="1"/>
  </w:style>
  <w:style w:type="table" w:default="1" w:styleId="10">
    <w:name w:val="Normal Table"/>
    <w:qFormat/>
    <w:uiPriority w:val="99"/>
    <w:tblPr>
      <w:tblCellMar>
        <w:top w:w="0" w:type="dxa"/>
        <w:left w:w="108" w:type="dxa"/>
        <w:bottom w:w="0" w:type="dxa"/>
        <w:right w:w="108" w:type="dxa"/>
      </w:tblCellMar>
    </w:tblPr>
  </w:style>
  <w:style w:type="paragraph" w:styleId="4">
    <w:name w:val="annotation text"/>
    <w:basedOn w:val="1"/>
    <w:link w:val="19"/>
    <w:qFormat/>
    <w:uiPriority w:val="99"/>
    <w:pPr>
      <w:jc w:val="left"/>
    </w:pPr>
  </w:style>
  <w:style w:type="paragraph" w:styleId="5">
    <w:name w:val="Balloon Text"/>
    <w:basedOn w:val="1"/>
    <w:link w:val="21"/>
    <w:qFormat/>
    <w:uiPriority w:val="99"/>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ascii="Calibri Light" w:hAnsi="Calibri Light" w:eastAsia="方正小标宋简体" w:cs="宋体"/>
      <w:b w:val="0"/>
      <w:bCs w:val="0"/>
      <w:sz w:val="44"/>
      <w:szCs w:val="32"/>
    </w:rPr>
  </w:style>
  <w:style w:type="paragraph" w:styleId="9">
    <w:name w:val="annotation subject"/>
    <w:basedOn w:val="4"/>
    <w:next w:val="4"/>
    <w:link w:val="20"/>
    <w:qFormat/>
    <w:uiPriority w:val="99"/>
    <w:rPr>
      <w:b/>
      <w:bCs/>
    </w:rPr>
  </w:style>
  <w:style w:type="character" w:styleId="12">
    <w:name w:val="Hyperlink"/>
    <w:basedOn w:val="11"/>
    <w:qFormat/>
    <w:uiPriority w:val="99"/>
    <w:rPr>
      <w:color w:val="0563C1"/>
      <w:u w:val="single"/>
    </w:rPr>
  </w:style>
  <w:style w:type="character" w:styleId="13">
    <w:name w:val="annotation reference"/>
    <w:basedOn w:val="11"/>
    <w:qFormat/>
    <w:uiPriority w:val="99"/>
    <w:rPr>
      <w:sz w:val="21"/>
      <w:szCs w:val="21"/>
    </w:rPr>
  </w:style>
  <w:style w:type="character" w:customStyle="1" w:styleId="14">
    <w:name w:val="标题 1 字符"/>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字符"/>
    <w:basedOn w:val="11"/>
    <w:link w:val="8"/>
    <w:qFormat/>
    <w:uiPriority w:val="0"/>
    <w:rPr>
      <w:rFonts w:ascii="Calibri Light" w:hAnsi="Calibri Light" w:eastAsia="方正小标宋简体" w:cs="宋体"/>
      <w:kern w:val="44"/>
      <w:sz w:val="44"/>
      <w:szCs w:val="32"/>
    </w:rPr>
  </w:style>
  <w:style w:type="character" w:customStyle="1" w:styleId="17">
    <w:name w:val="页眉 字符"/>
    <w:basedOn w:val="11"/>
    <w:link w:val="7"/>
    <w:qFormat/>
    <w:uiPriority w:val="99"/>
    <w:rPr>
      <w:sz w:val="18"/>
      <w:szCs w:val="18"/>
    </w:rPr>
  </w:style>
  <w:style w:type="character" w:customStyle="1" w:styleId="18">
    <w:name w:val="页脚 字符"/>
    <w:basedOn w:val="11"/>
    <w:link w:val="6"/>
    <w:qFormat/>
    <w:uiPriority w:val="99"/>
    <w:rPr>
      <w:sz w:val="18"/>
      <w:szCs w:val="18"/>
    </w:rPr>
  </w:style>
  <w:style w:type="character" w:customStyle="1" w:styleId="19">
    <w:name w:val="批注文字 字符"/>
    <w:basedOn w:val="11"/>
    <w:link w:val="4"/>
    <w:qFormat/>
    <w:uiPriority w:val="99"/>
  </w:style>
  <w:style w:type="character" w:customStyle="1" w:styleId="20">
    <w:name w:val="批注主题 字符"/>
    <w:basedOn w:val="19"/>
    <w:link w:val="9"/>
    <w:qFormat/>
    <w:uiPriority w:val="99"/>
    <w:rPr>
      <w:b/>
      <w:bCs/>
    </w:rPr>
  </w:style>
  <w:style w:type="character" w:customStyle="1" w:styleId="21">
    <w:name w:val="批注框文本 字符"/>
    <w:basedOn w:val="11"/>
    <w:link w:val="5"/>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字符"/>
    <w:basedOn w:val="11"/>
    <w:link w:val="3"/>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4089</Words>
  <Characters>4154</Characters>
  <Paragraphs>59</Paragraphs>
  <TotalTime>11</TotalTime>
  <ScaleCrop>false</ScaleCrop>
  <LinksUpToDate>false</LinksUpToDate>
  <CharactersWithSpaces>4442</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cp:lastModifiedBy>
  <cp:lastPrinted>2025-10-31T05:58:02Z</cp:lastPrinted>
  <dcterms:modified xsi:type="dcterms:W3CDTF">2025-10-31T06:05:00Z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AE2139ADF1494BB9A5F6E03B9B7A50B8_13</vt:lpwstr>
  </property>
</Properties>
</file>