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rPr>
          <w:rFonts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pPr>
        <w:spacing w:line="560" w:lineRule="exact"/>
        <w:jc w:val="center"/>
        <w:rPr>
          <w:rFonts w:ascii="楷体_GB2312" w:hAnsi="宋体" w:eastAsia="楷体_GB2312"/>
          <w:color w:val="000000" w:themeColor="text1"/>
          <w:sz w:val="32"/>
          <w:szCs w:val="32"/>
          <w14:textFill>
            <w14:solidFill>
              <w14:schemeClr w14:val="tx1"/>
            </w14:solidFill>
          </w14:textFill>
        </w:rPr>
      </w:pPr>
    </w:p>
    <w:p>
      <w:pPr>
        <w:spacing w:line="560" w:lineRule="exact"/>
        <w:rPr>
          <w:rFonts w:asciiTheme="minorEastAsia" w:hAnsiTheme="minorEastAsia" w:eastAsiaTheme="minorEastAsia"/>
          <w:b/>
          <w:bCs/>
          <w:color w:val="000000" w:themeColor="text1"/>
          <w:sz w:val="48"/>
          <w:szCs w:val="48"/>
          <w14:textFill>
            <w14:solidFill>
              <w14:schemeClr w14:val="tx1"/>
            </w14:solidFill>
          </w14:textFill>
        </w:rPr>
      </w:pPr>
    </w:p>
    <w:p>
      <w:pPr>
        <w:pStyle w:val="13"/>
        <w:shd w:val="clear" w:color="auto" w:fill="FFFFFF"/>
        <w:spacing w:line="480" w:lineRule="atLeast"/>
        <w:ind w:left="482" w:hanging="482"/>
        <w:jc w:val="both"/>
        <w:rPr>
          <w:rFonts w:hint="eastAsia" w:cs="Times New Roman" w:asciiTheme="minorEastAsia" w:hAnsiTheme="minorEastAsia" w:eastAsiaTheme="minorEastAsia"/>
          <w:b/>
          <w:bCs/>
          <w:color w:val="000000" w:themeColor="text1"/>
          <w:szCs w:val="32"/>
          <w:lang w:val="en-US" w:eastAsia="zh-CN"/>
          <w14:textFill>
            <w14:solidFill>
              <w14:schemeClr w14:val="tx1"/>
            </w14:solidFill>
          </w14:textFill>
        </w:rPr>
      </w:pPr>
    </w:p>
    <w:p>
      <w:pPr>
        <w:pStyle w:val="13"/>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山东省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杨震</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：济南市经三路89号</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协议签订地点：济南市经三路89号</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6"/>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sz w:val="28"/>
          <w:szCs w:val="28"/>
          <w:lang w:eastAsia="zh-CN"/>
          <w14:textFill>
            <w14:solidFill>
              <w14:schemeClr w14:val="tx1"/>
            </w14:solidFill>
          </w14:textFill>
        </w:rPr>
        <w:t>编号：[       ]）。</w:t>
      </w:r>
    </w:p>
    <w:p>
      <w:pPr>
        <w:pStyle w:val="6"/>
        <w:tabs>
          <w:tab w:val="left" w:pos="8364"/>
        </w:tabs>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6"/>
        <w:spacing w:line="560" w:lineRule="exact"/>
        <w:ind w:firstLine="56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w:t>
      </w:r>
      <w:r>
        <w:rPr>
          <w:rFonts w:hint="eastAsia" w:asciiTheme="minorEastAsia" w:hAnsiTheme="minorEastAsia" w:eastAsiaTheme="minorEastAsia"/>
          <w:color w:val="000000" w:themeColor="text1"/>
          <w:kern w:val="0"/>
          <w:sz w:val="28"/>
          <w:szCs w:val="28"/>
          <w:highlight w:val="none"/>
          <w14:textFill>
            <w14:solidFill>
              <w14:schemeClr w14:val="tx1"/>
            </w14:solidFill>
          </w14:textFill>
        </w:rPr>
        <w:t>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还款</w:t>
      </w:r>
      <w:r>
        <w:rPr>
          <w:rFonts w:hint="eastAsia" w:asciiTheme="minorEastAsia" w:hAnsiTheme="minorEastAsia" w:eastAsiaTheme="minorEastAsia"/>
          <w:color w:val="000000" w:themeColor="text1"/>
          <w:sz w:val="28"/>
          <w:szCs w:val="28"/>
          <w:highlight w:val="none"/>
          <w14:textFill>
            <w14:solidFill>
              <w14:schemeClr w14:val="tx1"/>
            </w14:solidFill>
          </w14:textFill>
        </w:rPr>
        <w:t>协议</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和解协议、抵债协议，或接受法院抵债裁定，而这些协议并未履行完毕或抵债物未完成过户，因此，乙方受让的对该等债务人（包括担保人）的债权，已从原始的贷款</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、担保</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w:t>
      </w:r>
      <w:r>
        <w:rPr>
          <w:rFonts w:hint="eastAsia" w:asciiTheme="minorEastAsia" w:hAnsiTheme="minorEastAsia" w:eastAsiaTheme="minorEastAsia"/>
          <w:color w:val="000000" w:themeColor="text1"/>
          <w:kern w:val="0"/>
          <w:sz w:val="28"/>
          <w:szCs w:val="28"/>
          <w:highlight w:val="none"/>
          <w14:textFill>
            <w14:solidFill>
              <w14:schemeClr w14:val="tx1"/>
            </w14:solidFill>
          </w14:textFill>
        </w:rPr>
        <w:t>系[   ]年[   ]月[   ]日。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highlight w:val="none"/>
          <w14:textFill>
            <w14:solidFill>
              <w14:schemeClr w14:val="tx1"/>
            </w14:solidFill>
          </w14:textFill>
        </w:rPr>
        <w:t>截至交易基准日</w:t>
      </w:r>
      <w:r>
        <w:rPr>
          <w:rFonts w:hint="eastAsia" w:asciiTheme="minorEastAsia" w:hAnsiTheme="minorEastAsia" w:eastAsiaTheme="minorEastAsia"/>
          <w:color w:val="000000" w:themeColor="text1"/>
          <w:sz w:val="28"/>
          <w:szCs w:val="28"/>
          <w:highlight w:val="none"/>
          <w14:textFill>
            <w14:solidFill>
              <w14:schemeClr w14:val="tx1"/>
            </w14:solidFill>
          </w14:textFill>
        </w:rPr>
        <w:t>，标的债权本息总额为人民币 [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小</w:t>
      </w:r>
      <w:r>
        <w:rPr>
          <w:rFonts w:asciiTheme="minorEastAsia" w:hAnsiTheme="minorEastAsia" w:eastAsiaTheme="minorEastAsia"/>
          <w:color w:val="000000" w:themeColor="text1"/>
          <w:sz w:val="28"/>
          <w:szCs w:val="28"/>
          <w:highlight w:val="none"/>
          <w14:textFill>
            <w14:solidFill>
              <w14:schemeClr w14:val="tx1"/>
            </w14:solidFill>
          </w14:textFill>
        </w:rPr>
        <w:t>写：</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，其中</w:t>
      </w:r>
      <w:r>
        <w:rPr>
          <w:rFonts w:asciiTheme="minorEastAsia" w:hAnsiTheme="minorEastAsia" w:eastAsiaTheme="minorEastAsia"/>
          <w:color w:val="000000" w:themeColor="text1"/>
          <w:sz w:val="28"/>
          <w:szCs w:val="28"/>
          <w:highlight w:val="none"/>
          <w14:textFill>
            <w14:solidFill>
              <w14:schemeClr w14:val="tx1"/>
            </w14:solidFill>
          </w14:textFill>
        </w:rPr>
        <w:t>本金余额人民币</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小</w:t>
      </w:r>
      <w:r>
        <w:rPr>
          <w:rFonts w:asciiTheme="minorEastAsia" w:hAnsiTheme="minorEastAsia" w:eastAsiaTheme="minorEastAsia"/>
          <w:color w:val="000000" w:themeColor="text1"/>
          <w:sz w:val="28"/>
          <w:szCs w:val="28"/>
          <w:highlight w:val="none"/>
          <w14:textFill>
            <w14:solidFill>
              <w14:schemeClr w14:val="tx1"/>
            </w14:solidFill>
          </w14:textFill>
        </w:rPr>
        <w:t>写：</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欠息</w:t>
      </w:r>
      <w:r>
        <w:rPr>
          <w:rFonts w:asciiTheme="minorEastAsia" w:hAnsiTheme="minorEastAsia" w:eastAsiaTheme="minorEastAsia"/>
          <w:color w:val="000000" w:themeColor="text1"/>
          <w:sz w:val="28"/>
          <w:szCs w:val="28"/>
          <w:highlight w:val="none"/>
          <w14:textFill>
            <w14:solidFill>
              <w14:schemeClr w14:val="tx1"/>
            </w14:solidFill>
          </w14:textFill>
        </w:rPr>
        <w:t>人民币</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元</w:t>
      </w:r>
      <w:r>
        <w:rPr>
          <w:rFonts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小</w:t>
      </w:r>
      <w:r>
        <w:rPr>
          <w:rFonts w:asciiTheme="minorEastAsia" w:hAnsiTheme="minorEastAsia" w:eastAsiaTheme="minorEastAsia"/>
          <w:color w:val="000000" w:themeColor="text1"/>
          <w:sz w:val="28"/>
          <w:szCs w:val="28"/>
          <w:highlight w:val="none"/>
          <w14:textFill>
            <w14:solidFill>
              <w14:schemeClr w14:val="tx1"/>
            </w14:solidFill>
          </w14:textFill>
        </w:rPr>
        <w:t>写：</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w:t>
      </w:r>
    </w:p>
    <w:p>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在交易基准日前发生的</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代垫</w:t>
      </w:r>
      <w:r>
        <w:rPr>
          <w:rFonts w:asciiTheme="minorEastAsia" w:hAnsiTheme="minorEastAsia" w:eastAsiaTheme="minorEastAsia"/>
          <w:color w:val="000000" w:themeColor="text1"/>
          <w:sz w:val="28"/>
          <w:szCs w:val="28"/>
          <w:highlight w:val="none"/>
          <w14:textFill>
            <w14:solidFill>
              <w14:schemeClr w14:val="tx1"/>
            </w14:solidFill>
          </w14:textFill>
        </w:rPr>
        <w:t>费用（律师费、诉讼费、评估费</w:t>
      </w:r>
      <w:r>
        <w:rPr>
          <w:rFonts w:hint="eastAsia" w:asciiTheme="minorEastAsia" w:hAnsiTheme="minorEastAsia" w:eastAsiaTheme="minorEastAsia"/>
          <w:color w:val="000000" w:themeColor="text1"/>
          <w:sz w:val="28"/>
          <w:szCs w:val="28"/>
          <w:highlight w:val="none"/>
          <w14:textFill>
            <w14:solidFill>
              <w14:schemeClr w14:val="tx1"/>
            </w14:solidFill>
          </w14:textFill>
        </w:rPr>
        <w:t>、拍卖费</w:t>
      </w:r>
      <w:r>
        <w:rPr>
          <w:rFonts w:asciiTheme="minorEastAsia" w:hAnsiTheme="minorEastAsia" w:eastAsiaTheme="minorEastAsia"/>
          <w:color w:val="000000" w:themeColor="text1"/>
          <w:sz w:val="28"/>
          <w:szCs w:val="28"/>
          <w:highlight w:val="none"/>
          <w14:textFill>
            <w14:solidFill>
              <w14:schemeClr w14:val="tx1"/>
            </w14:solidFill>
          </w14:textFill>
        </w:rPr>
        <w:t>及其他实现债权而发生的</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代垫</w:t>
      </w:r>
      <w:r>
        <w:rPr>
          <w:rFonts w:asciiTheme="minorEastAsia" w:hAnsiTheme="minorEastAsia" w:eastAsiaTheme="minorEastAsia"/>
          <w:color w:val="000000" w:themeColor="text1"/>
          <w:sz w:val="28"/>
          <w:szCs w:val="28"/>
          <w:highlight w:val="none"/>
          <w14:textFill>
            <w14:solidFill>
              <w14:schemeClr w14:val="tx1"/>
            </w14:solidFill>
          </w14:textFill>
        </w:rPr>
        <w:t>费用）作为标的</w:t>
      </w:r>
      <w:r>
        <w:rPr>
          <w:rFonts w:hint="eastAsia" w:asciiTheme="minorEastAsia" w:hAnsiTheme="minorEastAsia" w:eastAsiaTheme="minorEastAsia"/>
          <w:color w:val="000000" w:themeColor="text1"/>
          <w:sz w:val="28"/>
          <w:szCs w:val="28"/>
          <w:highlight w:val="none"/>
          <w14:textFill>
            <w14:solidFill>
              <w14:schemeClr w14:val="tx1"/>
            </w14:solidFill>
          </w14:textFill>
        </w:rPr>
        <w:t>债权</w:t>
      </w:r>
      <w:r>
        <w:rPr>
          <w:rFonts w:asciiTheme="minorEastAsia" w:hAnsiTheme="minorEastAsia" w:eastAsiaTheme="minorEastAsia"/>
          <w:color w:val="000000" w:themeColor="text1"/>
          <w:sz w:val="28"/>
          <w:szCs w:val="28"/>
          <w:highlight w:val="none"/>
          <w14:textFill>
            <w14:solidFill>
              <w14:schemeClr w14:val="tx1"/>
            </w14:solidFill>
          </w14:textFill>
        </w:rPr>
        <w:t>一并转让。</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highlight w:val="none"/>
          <w14:textFill>
            <w14:solidFill>
              <w14:schemeClr w14:val="tx1"/>
            </w14:solidFill>
          </w14:textFill>
        </w:rPr>
        <w:t>2.2条</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及附件一《标的债权清单》中所列之债权金额仅为甲方根据截至[   ]年[   ]月[   ]日止的统计资料所作的一般性描述，可</w:t>
      </w:r>
      <w:r>
        <w:rPr>
          <w:rFonts w:hint="eastAsia" w:asciiTheme="minorEastAsia" w:hAnsiTheme="minorEastAsia" w:eastAsiaTheme="minorEastAsia"/>
          <w:b/>
          <w:bCs/>
          <w:color w:val="000000" w:themeColor="text1"/>
          <w:sz w:val="28"/>
          <w:szCs w:val="28"/>
          <w14:textFill>
            <w14:solidFill>
              <w14:schemeClr w14:val="tx1"/>
            </w14:solidFill>
          </w14:textFill>
        </w:rPr>
        <w:t>能存在</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较大</w:t>
      </w:r>
      <w:r>
        <w:rPr>
          <w:rFonts w:hint="eastAsia" w:asciiTheme="minorEastAsia" w:hAnsiTheme="minorEastAsia" w:eastAsiaTheme="minorEastAsia"/>
          <w:b/>
          <w:bCs/>
          <w:color w:val="000000" w:themeColor="text1"/>
          <w:sz w:val="28"/>
          <w:szCs w:val="28"/>
          <w14:textFill>
            <w14:solidFill>
              <w14:schemeClr w14:val="tx1"/>
            </w14:solidFill>
          </w14:textFill>
        </w:rPr>
        <w:t>计算误差、记录错误，或因其他原因导致乙方实际接收的标的债权所涉金额（包括但不限于本息数，下同）与附件一《标的债权清单》所列金额不完全一致，甲方对此等金额误差、记录错误无须承担任何责任；</w:t>
      </w:r>
      <w:r>
        <w:rPr>
          <w:rFonts w:ascii="宋体" w:hAnsi="宋体" w:eastAsia="宋体" w:cs="宋体"/>
          <w:sz w:val="24"/>
          <w:szCs w:val="24"/>
        </w:rPr>
        <w:br w:type="textWrapping"/>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实际利息数额以及迟延履行金金额应以相关合同、生效法律文书及法律规定等为准；</w:t>
      </w:r>
      <w:r>
        <w:rPr>
          <w:rFonts w:ascii="宋体" w:hAnsi="宋体" w:eastAsia="宋体" w:cs="宋体"/>
          <w:sz w:val="24"/>
          <w:szCs w:val="24"/>
          <w:lang w:eastAsia="zh-CN"/>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甲方此次系按照标的债权的现状进行转让，若该等债权的有效性、金额与甲方判断或裁判机构最终认定的有效性、金额存在差别、误差，并不属于甲方违约。</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乙方确认，基准日前发生的甲方</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或原债权人</w:t>
      </w:r>
      <w:r>
        <w:rPr>
          <w:rFonts w:hint="eastAsia" w:asciiTheme="minorEastAsia" w:hAnsiTheme="minorEastAsia" w:eastAsiaTheme="minorEastAsia"/>
          <w:b/>
          <w:bCs/>
          <w:color w:val="000000" w:themeColor="text1"/>
          <w:sz w:val="28"/>
          <w:szCs w:val="28"/>
          <w14:textFill>
            <w14:solidFill>
              <w14:schemeClr w14:val="tx1"/>
            </w14:solidFill>
          </w14:textFill>
        </w:rPr>
        <w:t>为实现债权而支付的</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代垫</w:t>
      </w:r>
      <w:r>
        <w:rPr>
          <w:rFonts w:hint="eastAsia" w:asciiTheme="minorEastAsia" w:hAnsiTheme="minorEastAsia" w:eastAsiaTheme="minorEastAsia"/>
          <w:b/>
          <w:bCs/>
          <w:color w:val="000000" w:themeColor="text1"/>
          <w:sz w:val="28"/>
          <w:szCs w:val="28"/>
          <w14:textFill>
            <w14:solidFill>
              <w14:schemeClr w14:val="tx1"/>
            </w14:solidFill>
          </w14:textFill>
        </w:rPr>
        <w:t>费用仅作为其他债权做零定价转让，因该部分债权无法实现、无法得到法律支持等，不影响整体债权的定价及转让效力。</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0" w:name="_Toc67459782"/>
      <w:bookmarkStart w:id="1" w:name="_Toc67718726"/>
      <w:bookmarkStart w:id="2" w:name="_Toc67385974"/>
      <w:bookmarkStart w:id="3" w:name="_Toc3602232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2"/>
      <w:bookmarkEnd w:id="4"/>
      <w:bookmarkStart w:id="5" w:name="_DV_M53"/>
      <w:bookmarkEnd w:id="5"/>
      <w:bookmarkStart w:id="6" w:name="_Hlt99790241"/>
      <w:bookmarkEnd w:id="6"/>
      <w:bookmarkStart w:id="7" w:name="_DV_M51"/>
      <w:bookmarkEnd w:id="7"/>
      <w:bookmarkStart w:id="8" w:name="_DV_M50"/>
      <w:bookmarkEnd w:id="8"/>
      <w:bookmarkStart w:id="9" w:name="_DV_M49"/>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一致同意，本协议项下标的债权的转让价款为人民币</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8"/>
          <w:szCs w:val="28"/>
          <w:highlight w:val="none"/>
          <w14:textFill>
            <w14:solidFill>
              <w14:schemeClr w14:val="tx1"/>
            </w14:solidFill>
          </w14:textFill>
        </w:rPr>
        <w:t>（小写：</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p>
    <w:p>
      <w:pPr>
        <w:spacing w:line="560" w:lineRule="exact"/>
        <w:ind w:firstLine="562" w:firstLineChars="200"/>
        <w:outlineLvl w:val="0"/>
        <w:rPr>
          <w:rFonts w:asciiTheme="minorEastAsia" w:hAnsiTheme="minorEastAsia" w:eastAsiaTheme="minorEastAsia"/>
          <w:b/>
          <w:bCs/>
          <w:color w:val="000000" w:themeColor="text1"/>
          <w:sz w:val="28"/>
          <w:szCs w:val="28"/>
          <w:highlight w:val="none"/>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highlight w:val="none"/>
          <w14:textFill>
            <w14:solidFill>
              <w14:schemeClr w14:val="tx1"/>
            </w14:solidFill>
          </w14:textFill>
        </w:rPr>
        <w:t>3.2</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 xml:space="preserve">  </w:t>
      </w:r>
      <w:r>
        <w:rPr>
          <w:rFonts w:asciiTheme="minorEastAsia" w:hAnsiTheme="minorEastAsia" w:eastAsiaTheme="minorEastAsia"/>
          <w:b/>
          <w:bCs/>
          <w:color w:val="000000" w:themeColor="text1"/>
          <w:sz w:val="28"/>
          <w:szCs w:val="28"/>
          <w:highlight w:val="none"/>
          <w14:textFill>
            <w14:solidFill>
              <w14:schemeClr w14:val="tx1"/>
            </w14:solidFill>
          </w14:textFill>
        </w:rPr>
        <w:t>付款</w:t>
      </w:r>
      <w:bookmarkEnd w:id="10"/>
    </w:p>
    <w:p>
      <w:pPr>
        <w:spacing w:line="560" w:lineRule="exact"/>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3.2.1  </w:t>
      </w:r>
      <w:r>
        <w:rPr>
          <w:rFonts w:hint="eastAsia" w:asciiTheme="minorEastAsia" w:hAnsiTheme="minorEastAsia" w:eastAsiaTheme="minorEastAsia"/>
          <w:color w:val="000000" w:themeColor="text1"/>
          <w:sz w:val="28"/>
          <w:szCs w:val="28"/>
          <w:highlight w:val="none"/>
          <w14:textFill>
            <w14:solidFill>
              <w14:schemeClr w14:val="tx1"/>
            </w14:solidFill>
          </w14:textFill>
        </w:rPr>
        <w:t>乙方应在自本协议生效之日起的[   ]个工作日内将全部转让价款一次性支付至甲方的指定账户中。</w:t>
      </w:r>
    </w:p>
    <w:p>
      <w:pPr>
        <w:pStyle w:val="26"/>
        <w:widowControl w:val="0"/>
        <w:spacing w:line="56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6"/>
        <w:widowControl w:val="0"/>
        <w:spacing w:line="560" w:lineRule="exact"/>
        <w:ind w:firstLine="425" w:firstLineChars="152"/>
        <w:rPr>
          <w:rFonts w:asciiTheme="minorEastAsia" w:hAnsiTheme="minorEastAsia" w:eastAsiaTheme="minorEastAsia"/>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asciiTheme="minorEastAsia" w:hAnsiTheme="minorEastAsia" w:eastAsiaTheme="minorEastAsia"/>
          <w:bCs/>
          <w:color w:val="000000" w:themeColor="text1"/>
          <w:sz w:val="28"/>
          <w:szCs w:val="28"/>
          <w:highlight w:val="none"/>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甲方的指定账户为：</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开户银行：中国工商银行股份有限公司济南槐荫支行</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户名：中国中信金融资产管理股份有限公司山东省分公司</w:t>
      </w:r>
    </w:p>
    <w:p>
      <w:pPr>
        <w:pStyle w:val="26"/>
        <w:widowControl w:val="0"/>
        <w:spacing w:line="560" w:lineRule="exact"/>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账</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号</w:t>
      </w:r>
      <w:r>
        <w:rPr>
          <w:rFonts w:hint="eastAsia" w:asciiTheme="minorEastAsia" w:hAnsiTheme="minorEastAsia" w:eastAsiaTheme="minorEastAsia"/>
          <w:color w:val="000000" w:themeColor="text1"/>
          <w:sz w:val="28"/>
          <w:szCs w:val="28"/>
          <w:highlight w:val="none"/>
          <w14:textFill>
            <w14:solidFill>
              <w14:schemeClr w14:val="tx1"/>
            </w14:solidFill>
          </w14:textFill>
        </w:rPr>
        <w:t>：1602006319200295383</w:t>
      </w:r>
    </w:p>
    <w:p>
      <w:pPr>
        <w:spacing w:line="560" w:lineRule="exact"/>
        <w:ind w:firstLine="562" w:firstLineChars="200"/>
        <w:rPr>
          <w:rFonts w:asciiTheme="minorEastAsia" w:hAnsiTheme="minorEastAsia" w:eastAsiaTheme="minorEastAsia"/>
          <w:b/>
          <w:color w:val="000000" w:themeColor="text1"/>
          <w:sz w:val="28"/>
          <w:szCs w:val="28"/>
          <w:highlight w:val="none"/>
          <w14:textFill>
            <w14:solidFill>
              <w14:schemeClr w14:val="tx1"/>
            </w14:solidFill>
          </w14:textFill>
        </w:rPr>
      </w:pPr>
      <w:r>
        <w:rPr>
          <w:rFonts w:asciiTheme="minorEastAsia" w:hAnsiTheme="minorEastAsia" w:eastAsiaTheme="minorEastAsia"/>
          <w:b/>
          <w:color w:val="000000" w:themeColor="text1"/>
          <w:sz w:val="28"/>
          <w:szCs w:val="28"/>
          <w:highlight w:val="none"/>
          <w14:textFill>
            <w14:solidFill>
              <w14:schemeClr w14:val="tx1"/>
            </w14:solidFill>
          </w14:textFill>
        </w:rPr>
        <w:t>3.3</w:t>
      </w:r>
      <w:r>
        <w:rPr>
          <w:rFonts w:hint="eastAsia" w:asciiTheme="minorEastAsia" w:hAnsiTheme="minorEastAsia" w:eastAsiaTheme="minorEastAsia"/>
          <w:b/>
          <w:color w:val="000000" w:themeColor="text1"/>
          <w:sz w:val="28"/>
          <w:szCs w:val="28"/>
          <w:highlight w:val="none"/>
          <w14:textFill>
            <w14:solidFill>
              <w14:schemeClr w14:val="tx1"/>
            </w14:solidFill>
          </w14:textFill>
        </w:rPr>
        <w:t xml:space="preserve">  </w:t>
      </w:r>
      <w:r>
        <w:rPr>
          <w:rFonts w:asciiTheme="minorEastAsia" w:hAnsiTheme="minorEastAsia" w:eastAsiaTheme="minorEastAsia"/>
          <w:b/>
          <w:color w:val="000000" w:themeColor="text1"/>
          <w:sz w:val="28"/>
          <w:szCs w:val="28"/>
          <w:highlight w:val="none"/>
          <w14:textFill>
            <w14:solidFill>
              <w14:schemeClr w14:val="tx1"/>
            </w14:solidFill>
          </w14:textFill>
        </w:rPr>
        <w:t>交易保证金</w:t>
      </w:r>
    </w:p>
    <w:p>
      <w:pPr>
        <w:snapToGrid w:val="0"/>
        <w:spacing w:line="560" w:lineRule="exact"/>
        <w:ind w:firstLine="565" w:firstLineChars="202"/>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3.3.1</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highlight w:val="none"/>
          <w14:textFill>
            <w14:solidFill>
              <w14:schemeClr w14:val="tx1"/>
            </w14:solidFill>
          </w14:textFill>
        </w:rPr>
        <w:t>确认，</w:t>
      </w:r>
      <w:r>
        <w:rPr>
          <w:rFonts w:asciiTheme="minorEastAsia" w:hAnsiTheme="minorEastAsia" w:eastAsiaTheme="minorEastAsia"/>
          <w:color w:val="000000" w:themeColor="text1"/>
          <w:sz w:val="28"/>
          <w:szCs w:val="28"/>
          <w:highlight w:val="none"/>
          <w14:textFill>
            <w14:solidFill>
              <w14:schemeClr w14:val="tx1"/>
            </w14:solidFill>
          </w14:textFill>
        </w:rPr>
        <w:t>乙方已于</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年</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日向</w:t>
      </w:r>
      <w:r>
        <w:rPr>
          <w:rFonts w:hint="eastAsia" w:asciiTheme="minorEastAsia" w:hAnsiTheme="minorEastAsia" w:eastAsiaTheme="minorEastAsia"/>
          <w:color w:val="000000" w:themeColor="text1"/>
          <w:sz w:val="28"/>
          <w:szCs w:val="28"/>
          <w:highlight w:val="none"/>
          <w14:textFill>
            <w14:solidFill>
              <w14:schemeClr w14:val="tx1"/>
            </w14:solidFill>
          </w14:textFill>
        </w:rPr>
        <w:t>甲</w:t>
      </w:r>
      <w:r>
        <w:rPr>
          <w:rFonts w:asciiTheme="minorEastAsia" w:hAnsiTheme="minorEastAsia" w:eastAsiaTheme="minorEastAsia"/>
          <w:color w:val="000000" w:themeColor="text1"/>
          <w:sz w:val="28"/>
          <w:szCs w:val="28"/>
          <w:highlight w:val="none"/>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highlight w:val="none"/>
          <w14:textFill>
            <w14:solidFill>
              <w14:schemeClr w14:val="tx1"/>
            </w14:solidFill>
          </w14:textFill>
        </w:rPr>
        <w:t>人民币[        ]</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8"/>
          <w:szCs w:val="28"/>
          <w:highlight w:val="none"/>
          <w14:textFill>
            <w14:solidFill>
              <w14:schemeClr w14:val="tx1"/>
            </w14:solidFill>
          </w14:textFill>
        </w:rPr>
        <w:t>（小写：</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none"/>
          <w14:textFill>
            <w14:solidFill>
              <w14:schemeClr w14:val="tx1"/>
            </w14:solidFill>
          </w14:textFill>
        </w:rPr>
        <w:t>[         ]）</w:t>
      </w:r>
      <w:r>
        <w:rPr>
          <w:rFonts w:asciiTheme="minorEastAsia" w:hAnsiTheme="minorEastAsia" w:eastAsiaTheme="minorEastAsia"/>
          <w:color w:val="000000" w:themeColor="text1"/>
          <w:sz w:val="28"/>
          <w:szCs w:val="28"/>
          <w:highlight w:val="none"/>
          <w14:textFill>
            <w14:solidFill>
              <w14:schemeClr w14:val="tx1"/>
            </w14:solidFill>
          </w14:textFill>
        </w:rPr>
        <w:t>。</w:t>
      </w:r>
    </w:p>
    <w:p>
      <w:pPr>
        <w:snapToGrid w:val="0"/>
        <w:spacing w:line="560" w:lineRule="exact"/>
        <w:ind w:firstLine="565" w:firstLineChars="202"/>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highlight w:val="none"/>
          <w14:textFill>
            <w14:solidFill>
              <w14:schemeClr w14:val="tx1"/>
            </w14:solidFill>
          </w14:textFill>
        </w:rPr>
        <w:t>3.3.</w:t>
      </w:r>
      <w:r>
        <w:rPr>
          <w:rFonts w:hint="eastAsia" w:asciiTheme="minorEastAsia" w:hAnsiTheme="minorEastAsia" w:eastAsiaTheme="minorEastAsia"/>
          <w:color w:val="000000" w:themeColor="text1"/>
          <w:sz w:val="28"/>
          <w:szCs w:val="28"/>
          <w:highlight w:val="none"/>
          <w14:textFill>
            <w14:solidFill>
              <w14:schemeClr w14:val="tx1"/>
            </w14:solidFill>
          </w14:textFill>
        </w:rPr>
        <w:t>2  乙方交付的</w:t>
      </w:r>
      <w:r>
        <w:rPr>
          <w:rFonts w:asciiTheme="minorEastAsia" w:hAnsiTheme="minorEastAsia" w:eastAsiaTheme="minorEastAsia"/>
          <w:color w:val="000000" w:themeColor="text1"/>
          <w:sz w:val="28"/>
          <w:szCs w:val="28"/>
          <w:highlight w:val="none"/>
          <w14:textFill>
            <w14:solidFill>
              <w14:schemeClr w14:val="tx1"/>
            </w14:solidFill>
          </w14:textFill>
        </w:rPr>
        <w:t>交易保证金</w:t>
      </w:r>
      <w:r>
        <w:rPr>
          <w:rFonts w:hint="eastAsia" w:asciiTheme="minorEastAsia" w:hAnsiTheme="minorEastAsia" w:eastAsiaTheme="minorEastAsia"/>
          <w:color w:val="000000" w:themeColor="text1"/>
          <w:sz w:val="28"/>
          <w:szCs w:val="28"/>
          <w:highlight w:val="none"/>
          <w14:textFill>
            <w14:solidFill>
              <w14:schemeClr w14:val="tx1"/>
            </w14:solidFill>
          </w14:textFill>
        </w:rPr>
        <w:t>（不计利息）可相应充抵乙方应向甲方支付的转让价款。</w:t>
      </w:r>
    </w:p>
    <w:p>
      <w:pPr>
        <w:snapToGrid w:val="0"/>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3  如果乙方存在违反《邀请函》、《公开竞价须知及程序》、《</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保密</w:t>
      </w:r>
      <w:r>
        <w:rPr>
          <w:rFonts w:hint="eastAsia" w:asciiTheme="minorEastAsia" w:hAnsiTheme="minorEastAsia" w:eastAsiaTheme="minorEastAsia"/>
          <w:b/>
          <w:bCs/>
          <w:color w:val="000000" w:themeColor="text1"/>
          <w:sz w:val="28"/>
          <w:szCs w:val="28"/>
          <w14:textFill>
            <w14:solidFill>
              <w14:schemeClr w14:val="tx1"/>
            </w14:solidFill>
          </w14:textFill>
        </w:rPr>
        <w:t>承诺函》等文件的行为，甲方有权根据损失程度没收乙方全部或部分交易保证金。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6"/>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459789"/>
      <w:bookmarkStart w:id="13" w:name="_Toc36022336"/>
      <w:bookmarkStart w:id="14" w:name="_Toc67718733"/>
      <w:bookmarkStart w:id="15" w:name="_Toc58517669"/>
      <w:bookmarkStart w:id="16" w:name="_Toc67385981"/>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应当依照有关法律法规规定，各自承担与本次债权转让有关的任何税费。</w:t>
      </w:r>
    </w:p>
    <w:p>
      <w:pPr>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宋体" w:hAnsi="宋体"/>
          <w:b/>
          <w:bCs w:val="0"/>
          <w:snapToGrid w:val="0"/>
          <w:color w:val="000000" w:themeColor="text1"/>
          <w:kern w:val="28"/>
          <w:sz w:val="24"/>
          <w:szCs w:val="24"/>
          <w14:textFill>
            <w14:solidFill>
              <w14:schemeClr w14:val="tx1"/>
            </w14:solidFill>
          </w14:textFill>
        </w:rPr>
        <w:t xml:space="preserve"> </w:t>
      </w:r>
      <w:r>
        <w:rPr>
          <w:rFonts w:hint="eastAsia" w:ascii="宋体" w:hAnsi="宋体"/>
          <w:b w:val="0"/>
          <w:bCs/>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b w:val="0"/>
          <w:bCs/>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val="0"/>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14:textFill>
            <w14:solidFill>
              <w14:schemeClr w14:val="tx1"/>
            </w14:solidFill>
          </w14:textFill>
        </w:rPr>
        <w:t>4.3</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val="0"/>
          <w:bCs w:val="0"/>
          <w:color w:val="000000" w:themeColor="text1"/>
          <w:sz w:val="28"/>
          <w:szCs w:val="28"/>
          <w14:textFill>
            <w14:solidFill>
              <w14:schemeClr w14:val="tx1"/>
            </w14:solidFill>
          </w14:textFill>
        </w:rPr>
        <w:t>4.</w:t>
      </w:r>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4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在过渡期内，甲方因管理处置和维护标的债权而产生的相关费用（包括：</w:t>
      </w:r>
      <w:r>
        <w:rPr>
          <w:rFonts w:hint="eastAsia" w:asciiTheme="minorEastAsia" w:hAnsiTheme="minorEastAsia" w:eastAsiaTheme="minorEastAsia"/>
          <w:b/>
          <w:bCs/>
          <w:color w:val="000000" w:themeColor="text1"/>
          <w:sz w:val="28"/>
          <w:szCs w:val="28"/>
          <w14:textFill>
            <w14:solidFill>
              <w14:schemeClr w14:val="tx1"/>
            </w14:solidFill>
          </w14:textFill>
        </w:rPr>
        <w:t>律师费、诉讼费、评估费、拍卖费等），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val="0"/>
          <w:bCs w:val="0"/>
          <w:color w:val="000000" w:themeColor="text1"/>
          <w:sz w:val="28"/>
          <w:szCs w:val="28"/>
          <w14:textFill>
            <w14:solidFill>
              <w14:schemeClr w14:val="tx1"/>
            </w14:solidFill>
          </w14:textFill>
        </w:rPr>
        <w:t>4.5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val="0"/>
          <w:bCs w:val="0"/>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5"/>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5"/>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5"/>
        <w:spacing w:before="0" w:after="0" w:line="560" w:lineRule="exact"/>
        <w:ind w:right="420" w:rightChars="200" w:firstLine="478" w:firstLineChars="171"/>
        <w:jc w:val="both"/>
        <w:rPr>
          <w:rFonts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5"/>
        <w:spacing w:before="0" w:after="0" w:line="560" w:lineRule="exact"/>
        <w:ind w:right="420" w:rightChars="200" w:firstLine="0" w:firstLineChars="0"/>
        <w:jc w:val="both"/>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5"/>
        <w:spacing w:before="0" w:after="0" w:line="560" w:lineRule="exact"/>
        <w:ind w:right="420" w:rightChars="200" w:firstLine="0" w:firstLineChars="0"/>
        <w:jc w:val="both"/>
        <w:rPr>
          <w:color w:val="000000" w:themeColor="text1"/>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（2）乙方已按照本协议的约定按期足额支付了相应的转让价款。</w:t>
      </w:r>
    </w:p>
    <w:p>
      <w:pPr>
        <w:pStyle w:val="4"/>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highlight w:val="none"/>
          <w14:textFill>
            <w14:solidFill>
              <w14:schemeClr w14:val="tx1"/>
            </w14:solidFill>
          </w14:textFill>
        </w:rPr>
        <w:t>[   ]日内完成债权文件的交割工作。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19" w:name="_Toc215479877"/>
      <w:bookmarkEnd w:id="19"/>
      <w:bookmarkStart w:id="20" w:name="_Toc215479816"/>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5"/>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rFonts w:hint="eastAsia" w:ascii="Times New Roman" w:hAnsi="Times New Roman"/>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highlight w:val="none"/>
          <w14:textFill>
            <w14:solidFill>
              <w14:schemeClr w14:val="tx1"/>
            </w14:solidFill>
          </w14:textFill>
        </w:rPr>
        <w:t>[    ]</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w:t>
      </w:r>
      <w:r>
        <w:rPr>
          <w:rFonts w:hint="eastAsia"/>
          <w:color w:val="000000" w:themeColor="text1"/>
          <w:sz w:val="28"/>
          <w:szCs w:val="28"/>
          <w:lang w:val="en-US" w:eastAsia="zh-CN"/>
          <w14:textFill>
            <w14:solidFill>
              <w14:schemeClr w14:val="tx1"/>
            </w14:solidFill>
          </w14:textFill>
        </w:rPr>
        <w:t>债权转让</w:t>
      </w:r>
      <w:r>
        <w:rPr>
          <w:rFonts w:hint="eastAsia"/>
          <w:color w:val="000000" w:themeColor="text1"/>
          <w:sz w:val="28"/>
          <w:szCs w:val="28"/>
          <w14:textFill>
            <w14:solidFill>
              <w14:schemeClr w14:val="tx1"/>
            </w14:solidFill>
          </w14:textFill>
        </w:rPr>
        <w:t>的事实，按照</w:t>
      </w:r>
      <w:r>
        <w:rPr>
          <w:rFonts w:hint="eastAsia"/>
          <w:color w:val="000000" w:themeColor="text1"/>
          <w:sz w:val="28"/>
          <w:szCs w:val="28"/>
          <w:lang w:eastAsia="zh-CN"/>
          <w14:textFill>
            <w14:solidFill>
              <w14:schemeClr w14:val="tx1"/>
            </w14:solidFill>
          </w14:textFill>
        </w:rPr>
        <w:t>如下方式</w:t>
      </w:r>
      <w:r>
        <w:rPr>
          <w:rFonts w:hint="eastAsia"/>
          <w:color w:val="000000" w:themeColor="text1"/>
          <w:sz w:val="28"/>
          <w:szCs w:val="28"/>
          <w14:textFill>
            <w14:solidFill>
              <w14:schemeClr w14:val="tx1"/>
            </w14:solidFill>
          </w14:textFill>
        </w:rPr>
        <w:t>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asciiTheme="minorEastAsia" w:hAnsiTheme="minorEastAsia" w:eastAsiaTheme="minorEastAsia"/>
          <w:snapToGrid w:val="0"/>
          <w:color w:val="000000" w:themeColor="text1"/>
          <w:kern w:val="28"/>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(债权转让与催收通知及回执见附件二)</w:t>
      </w:r>
      <w:r>
        <w:rPr>
          <w:rFonts w:hint="eastAsia" w:ascii="Times New Roman" w:hAnsi="Times New Roman" w:eastAsia="宋体" w:cs="Times New Roman"/>
          <w:color w:val="000000" w:themeColor="text1"/>
          <w:sz w:val="28"/>
          <w:szCs w:val="28"/>
          <w:lang w:eastAsia="zh-CN"/>
          <w14:textFill>
            <w14:solidFill>
              <w14:schemeClr w14:val="tx1"/>
            </w14:solidFill>
          </w14:textFill>
        </w:rPr>
        <w:t>甲方也可以采取报纸公告方式告知义务人。</w:t>
      </w:r>
    </w:p>
    <w:p>
      <w:pPr>
        <w:pStyle w:val="26"/>
        <w:widowControl w:val="0"/>
        <w:spacing w:line="560" w:lineRule="exact"/>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上述送达工作由</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highlight w:val="none"/>
          <w14:textFill>
            <w14:solidFill>
              <w14:schemeClr w14:val="tx1"/>
            </w14:solidFill>
          </w14:textFill>
        </w:rPr>
        <w:t>负责、</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乙</w:t>
      </w:r>
      <w:r>
        <w:rPr>
          <w:rFonts w:hint="eastAsia" w:asciiTheme="minorEastAsia" w:hAnsiTheme="minorEastAsia" w:eastAsiaTheme="minorEastAsia"/>
          <w:color w:val="000000" w:themeColor="text1"/>
          <w:sz w:val="28"/>
          <w:szCs w:val="28"/>
          <w:highlight w:val="none"/>
          <w14:textFill>
            <w14:solidFill>
              <w14:schemeClr w14:val="tx1"/>
            </w14:solidFill>
          </w14:textFill>
        </w:rPr>
        <w:t>方予以配合。</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14:textFill>
            <w14:solidFill>
              <w14:schemeClr w14:val="tx1"/>
            </w14:solidFill>
          </w14:textFill>
        </w:rPr>
        <w:t>6.1</w:t>
      </w:r>
      <w:r>
        <w:rPr>
          <w:rFonts w:asciiTheme="minorEastAsia" w:hAnsiTheme="minorEastAsia" w:eastAsiaTheme="minorEastAsia"/>
          <w:b w:val="0"/>
          <w:bCs w:val="0"/>
          <w:color w:val="000000" w:themeColor="text1"/>
          <w:sz w:val="28"/>
          <w:szCs w:val="28"/>
          <w14:textFill>
            <w14:solidFill>
              <w14:schemeClr w14:val="tx1"/>
            </w14:solidFill>
          </w14:textFill>
        </w:rPr>
        <w:t>.3</w:t>
      </w:r>
      <w:r>
        <w:rPr>
          <w:rFonts w:hint="eastAsia" w:asciiTheme="minorEastAsia" w:hAnsiTheme="minorEastAsia" w:eastAsiaTheme="minorEastAsia"/>
          <w:b w:val="0"/>
          <w:bCs w:val="0"/>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6"/>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pPr>
        <w:pStyle w:val="26"/>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6"/>
        <w:widowControl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6"/>
        <w:widowControl w:val="0"/>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6"/>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b/>
          <w:bCs/>
          <w:color w:val="000000" w:themeColor="text1"/>
          <w:sz w:val="28"/>
          <w:szCs w:val="28"/>
          <w14:textFill>
            <w14:solidFill>
              <w14:schemeClr w14:val="tx1"/>
            </w14:solidFill>
          </w14:textFill>
        </w:rPr>
        <w:t>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等法律文件，承继该等服务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项下的权利和义务并受到该等服务</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协议</w:t>
      </w:r>
      <w:r>
        <w:rPr>
          <w:rFonts w:hint="eastAsia" w:asciiTheme="minorEastAsia" w:hAnsiTheme="minorEastAsia" w:eastAsiaTheme="minorEastAsia"/>
          <w:b/>
          <w:bCs/>
          <w:color w:val="000000" w:themeColor="text1"/>
          <w:sz w:val="28"/>
          <w:szCs w:val="28"/>
          <w14:textFill>
            <w14:solidFill>
              <w14:schemeClr w14:val="tx1"/>
            </w14:solidFill>
          </w14:textFill>
        </w:rPr>
        <w:t>条款的约束。</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乙方知悉并确认基准日前破产管理人分配受偿价款</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如有</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归甲方所有；</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r>
        <w:rPr>
          <w:rFonts w:hint="eastAsia" w:cs="Times New Roman" w:asciiTheme="minorEastAsia" w:hAnsiTheme="minorEastAsia" w:eastAsiaTheme="minorEastAsia"/>
          <w:b/>
          <w:bCs/>
          <w:color w:val="000000" w:themeColor="text1"/>
          <w:sz w:val="28"/>
          <w:szCs w:val="28"/>
          <w:lang w:eastAsia="zh-CN"/>
          <w14:textFill>
            <w14:solidFill>
              <w14:schemeClr w14:val="tx1"/>
            </w14:solidFill>
          </w14:textFill>
        </w:rPr>
        <w:t xml:space="preserve">；随标的债权一并转让的垫付费用等可能缺少相关票据文件等而不被法院或仲裁机构支持，致使该部分债权无法实现 </w:t>
      </w:r>
      <w:r>
        <w:rPr>
          <w:rFonts w:hint="eastAsia" w:asciiTheme="minorEastAsia" w:hAnsiTheme="minorEastAsia" w:eastAsiaTheme="minorEastAsia"/>
          <w:b/>
          <w:bCs/>
          <w:color w:val="000000" w:themeColor="text1"/>
          <w:sz w:val="28"/>
          <w:szCs w:val="28"/>
          <w14:textFill>
            <w14:solidFill>
              <w14:schemeClr w14:val="tx1"/>
            </w14:solidFill>
          </w14:textFill>
        </w:rPr>
        <w:t>；</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p>
    <w:p>
      <w:pPr>
        <w:keepNext w:val="0"/>
        <w:keepLines w:val="0"/>
        <w:widowControl/>
        <w:suppressLineNumbers w:val="0"/>
        <w:wordWrap/>
        <w:ind w:firstLine="562" w:firstLineChars="200"/>
        <w:jc w:val="both"/>
        <w:textAlignment w:val="center"/>
        <w:rPr>
          <w:rFonts w:hint="default" w:cs="Times New Roman"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10户</w:t>
      </w: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债权所抵押房产、机器设备等抵押物可能存在已出租、被占用、已灭失等抵押权不能实现的瑕疵因素，第2、4、5、6、7、10户山东大有印染织造有限公司债权存在已超诉讼、执行时效的瑕疵，特予以提示。</w:t>
      </w:r>
    </w:p>
    <w:p>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乙方作出前述商业决策前，已对标的债权的情况开展了有关法律及财务方面的尽职调查工作，乙方已向法院及破产管理人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等相关机构</w:t>
      </w:r>
      <w:r>
        <w:rPr>
          <w:rFonts w:hint="eastAsia" w:asciiTheme="minorEastAsia" w:hAnsiTheme="minorEastAsia" w:eastAsiaTheme="minorEastAsia"/>
          <w:color w:val="000000" w:themeColor="text1"/>
          <w:sz w:val="28"/>
          <w:szCs w:val="28"/>
          <w14:textFill>
            <w14:solidFill>
              <w14:schemeClr w14:val="tx1"/>
            </w14:solidFill>
          </w14:textFill>
        </w:rPr>
        <w:t>确认债权现状，乙方开展的尽职调查工作并不依赖于甲方提供的任何与标的债权有关的文件、资料、说明或协助。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51" w:firstLineChars="196"/>
        <w:jc w:val="both"/>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jc w:val="both"/>
        <w:textAlignment w:val="auto"/>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乙方承诺具备收购标的债权的受让资格，符合现行法律法规及其他相关规范性文件有关受让资格的规定，包括但不限于：</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（2）并非与参与不良债权转让的金融资产管理公司工作人员、国有企业债务人或者受托资产评估机构负责人等有直系亲属关系的人员；</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（3）并非债务企业的控股股东、实际控制人及其控股下属公司，并非担保企业及其控股下属公司，以及并非债务企业的其他关联方；</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（4）债务人、担保人为自然人的，并非其本人及其直系亲属；</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（5）并非上述主体出资成立的法人机构或特殊目的实体；</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（6）并非国家金融监督管理总局认定的其他不宜受让的主体;</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（7）并非依照其他法律、法规、监管规定等规范性文件规定不宜受让标的债权的主体。</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7"/>
        <w:jc w:val="both"/>
        <w:textAlignment w:val="auto"/>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乙方承诺在本协议履行完毕前，乙方及其工作人员持续符合法律、法规、监管规定等规范性文件及本协议约定关于受让方资格的限制。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(担保人）</w:t>
      </w:r>
      <w:r>
        <w:rPr>
          <w:rFonts w:hint="eastAsia" w:asciiTheme="minorEastAsia" w:hAnsiTheme="minorEastAsia" w:eastAsiaTheme="minorEastAsia"/>
          <w:b/>
          <w:bCs/>
          <w:color w:val="000000" w:themeColor="text1"/>
          <w:sz w:val="28"/>
          <w:szCs w:val="28"/>
          <w14:textFill>
            <w14:solidFill>
              <w14:schemeClr w14:val="tx1"/>
            </w14:solidFill>
          </w14:textFill>
        </w:rPr>
        <w:t>的债权过程作出的决策。乙方不可撤销地承诺：如享有标的债权优先购买权的主体行使优先购买权导致本协议被撤销、解除或无效的，甲方无须因此向乙方承担任何的违约责任。如甲方已将标的债权转让给乙方及/或</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b/>
          <w:bCs/>
          <w:color w:val="000000" w:themeColor="text1"/>
          <w:sz w:val="28"/>
          <w:szCs w:val="28"/>
          <w14:textFill>
            <w14:solidFill>
              <w14:schemeClr w14:val="tx1"/>
            </w14:solidFill>
          </w14:textFill>
        </w:rPr>
        <w:t>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乙方承诺，甲方在受让标的债权过程中对原债权人所作出的任何声明、承诺等事项在转让后同样对乙方、乙方后手继受方和后续任何其他资产接收方具有约束力，乙方不会因任何原因向甲方及原债权人（含原债权人上级行及分支机构）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8.2.17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9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8.2.20  乙方承诺，乙方向甲方提供的所有文件、资料、报表和凭证等是真实、准确、完整和有效的，不存在任何误导性陈述、虚假记载或重大遗漏。乙方未隐瞒任何已发生或可能发生的有可能使甲方不同意签署本协议的情况</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rFonts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w:t>
      </w:r>
      <w:r>
        <w:rPr>
          <w:rFonts w:hint="eastAsia" w:asciiTheme="minorEastAsia" w:hAnsiTheme="minorEastAsia" w:eastAsiaTheme="minorEastAsia"/>
          <w:color w:val="000000" w:themeColor="text1"/>
          <w:sz w:val="28"/>
          <w:szCs w:val="28"/>
          <w:highlight w:val="none"/>
          <w14:textFill>
            <w14:solidFill>
              <w14:schemeClr w14:val="tx1"/>
            </w14:solidFill>
          </w14:textFill>
        </w:rPr>
        <w:t>延[   ]日未向</w:t>
      </w:r>
      <w:r>
        <w:rPr>
          <w:rFonts w:hint="eastAsia" w:asciiTheme="minorEastAsia" w:hAnsiTheme="minorEastAsia" w:eastAsiaTheme="minorEastAsia"/>
          <w:color w:val="000000" w:themeColor="text1"/>
          <w:sz w:val="28"/>
          <w:szCs w:val="28"/>
          <w14:textFill>
            <w14:solidFill>
              <w14:schemeClr w14:val="tx1"/>
            </w14:solidFill>
          </w14:textFill>
        </w:rPr>
        <w:t>甲方足额支付相应款项，甲方有权选择如下一种或几种方式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要求乙方承担违约责任</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cs="Times New Roman" w:asciiTheme="minorEastAsia" w:hAnsiTheme="minorEastAsia" w:eastAsiaTheme="minorEastAsia"/>
          <w:color w:val="000000"/>
          <w:sz w:val="28"/>
          <w:szCs w:val="28"/>
          <w:highlight w:val="none"/>
          <w:lang w:eastAsia="zh-CN"/>
        </w:rPr>
        <w:t>自乙方延期支付之日起3年内，甲方有权</w:t>
      </w:r>
      <w:r>
        <w:rPr>
          <w:rFonts w:hint="eastAsia" w:asciiTheme="minorEastAsia" w:hAnsiTheme="minorEastAsia" w:eastAsiaTheme="minorEastAsia"/>
          <w:color w:val="000000" w:themeColor="text1"/>
          <w:sz w:val="28"/>
          <w:szCs w:val="28"/>
          <w14:textFill>
            <w14:solidFill>
              <w14:schemeClr w14:val="tx1"/>
            </w14:solidFill>
          </w14:textFill>
        </w:rPr>
        <w:t xml:space="preserve">解除本协议，乙方应向甲方支付相应的违约金，违约金数额为转让价款的20％（不含9.2.6条所述违约金）；如违约金数额不足以弥补甲方的实际损失，甲方有权继续向乙方追索。         </w:t>
      </w:r>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spacing w:line="560" w:lineRule="exact"/>
        <w:ind w:firstLine="560" w:firstLineChars="200"/>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9.2.8  </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各方确认，如乙方违反付款义务，甲方有权根据乙方违约情况，单独或同时要求乙方承担本协议项下部分或全部违约责任。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9.2.9  </w:t>
      </w:r>
      <w:r>
        <w:rPr>
          <w:rFonts w:hint="eastAsia" w:asciiTheme="minorEastAsia" w:hAnsiTheme="minorEastAsia" w:eastAsiaTheme="minorEastAsia"/>
          <w:color w:val="000000" w:themeColor="text1"/>
          <w:sz w:val="28"/>
          <w:szCs w:val="28"/>
          <w14:textFill>
            <w14:solidFill>
              <w14:schemeClr w14:val="tx1"/>
            </w14:solidFill>
          </w14:textFill>
        </w:rPr>
        <w:t>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9"/>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协议</w:t>
      </w:r>
      <w:r>
        <w:rPr>
          <w:rFonts w:hint="eastAsia" w:asciiTheme="minorEastAsia" w:hAnsiTheme="minorEastAsia" w:eastAsiaTheme="minorEastAsia"/>
          <w:color w:val="000000" w:themeColor="text1"/>
          <w:sz w:val="28"/>
          <w:szCs w:val="28"/>
          <w14:textFill>
            <w14:solidFill>
              <w14:schemeClr w14:val="tx1"/>
            </w14:solidFill>
          </w14:textFill>
        </w:rPr>
        <w:t>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5日</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6"/>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pPr>
        <w:spacing w:line="560" w:lineRule="exact"/>
        <w:ind w:firstLine="56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w:t>
      </w:r>
    </w:p>
    <w:p>
      <w:pPr>
        <w:spacing w:line="56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_________________________________________________________</w:t>
      </w:r>
      <w:r>
        <w:rPr>
          <w:rFonts w:ascii="宋体" w:hAnsi="宋体"/>
          <w:color w:val="000000" w:themeColor="text1"/>
          <w:sz w:val="28"/>
          <w:szCs w:val="28"/>
          <w:highlight w:val="none"/>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__________________________________________________________</w:t>
      </w:r>
      <w:r>
        <w:rPr>
          <w:rFonts w:ascii="宋体" w:hAnsi="宋体"/>
          <w:color w:val="000000" w:themeColor="text1"/>
          <w:sz w:val="28"/>
          <w:szCs w:val="28"/>
          <w:highlight w:val="non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_________________________________________________________</w:t>
      </w: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 xml:space="preserve">                                                                     </w:t>
      </w:r>
      <w:r>
        <w:rPr>
          <w:rFonts w:ascii="宋体" w:hAnsi="宋体"/>
          <w:color w:val="000000" w:themeColor="text1"/>
          <w:sz w:val="28"/>
          <w:szCs w:val="28"/>
          <w:highlight w:val="none"/>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_________________________________________________________</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pStyle w:val="2"/>
        <w:rPr>
          <w:rFonts w:hint="eastAsia" w:ascii="宋体" w:hAnsi="宋体"/>
          <w:color w:val="000000" w:themeColor="text1"/>
          <w:sz w:val="28"/>
          <w:szCs w:val="28"/>
          <w14:textFill>
            <w14:solidFill>
              <w14:schemeClr w14:val="tx1"/>
            </w14:solidFill>
          </w14:textFill>
        </w:rPr>
      </w:pPr>
    </w:p>
    <w:p>
      <w:pPr>
        <w:pStyle w:val="2"/>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第十二条</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b/>
          <w:bCs/>
          <w:color w:val="000000" w:themeColor="text1"/>
          <w:sz w:val="28"/>
          <w:szCs w:val="28"/>
          <w14:textFill>
            <w14:solidFill>
              <w14:schemeClr w14:val="tx1"/>
            </w14:solidFill>
          </w14:textFill>
        </w:rPr>
        <w:t>反商业贿赂条款</w:t>
      </w:r>
    </w:p>
    <w:p>
      <w:pPr>
        <w:pStyle w:val="2"/>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各方均清楚并愿意严格遵守中华人民共和国反商业贿赂相关法律法规的规定，各方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b/>
          <w:bCs/>
          <w:color w:val="000000" w:themeColor="text1"/>
          <w:sz w:val="28"/>
          <w:szCs w:val="28"/>
          <w14:textFill>
            <w14:solidFill>
              <w14:schemeClr w14:val="tx1"/>
            </w14:solidFill>
          </w14:textFill>
        </w:rPr>
        <w:t>条 其他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5"/>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.5  </w:t>
      </w:r>
      <w:r>
        <w:rPr>
          <w:rFonts w:hint="eastAsia" w:asciiTheme="minorEastAsia" w:hAnsiTheme="minorEastAsia" w:eastAsiaTheme="minorEastAsia"/>
          <w:color w:val="000000" w:themeColor="text1"/>
          <w:sz w:val="28"/>
          <w:szCs w:val="28"/>
          <w:highlight w:val="none"/>
          <w14:textFill>
            <w14:solidFill>
              <w14:schemeClr w14:val="tx1"/>
            </w14:solidFill>
          </w14:textFill>
        </w:rPr>
        <w:t>本协议由</w:t>
      </w:r>
      <w:r>
        <w:rPr>
          <w:rFonts w:hint="eastAsia" w:asciiTheme="minorEastAsia" w:hAnsiTheme="minorEastAsia" w:eastAsiaTheme="minorEastAsia"/>
          <w:color w:val="000000" w:themeColor="text1"/>
          <w:sz w:val="28"/>
          <w:szCs w:val="28"/>
          <w:highlight w:val="none"/>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highlight w:val="none"/>
          <w14:textFill>
            <w14:solidFill>
              <w14:schemeClr w14:val="tx1"/>
            </w14:solidFill>
          </w14:textFill>
        </w:rPr>
        <w:t>加盖公章之日起生效。</w:t>
      </w:r>
    </w:p>
    <w:p>
      <w:pPr>
        <w:pStyle w:val="26"/>
        <w:widowControl w:val="0"/>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bCs w:val="0"/>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负担。</w:t>
      </w:r>
    </w:p>
    <w:p>
      <w:pPr>
        <w:pStyle w:val="26"/>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除法律规定或当事人另有约定外，因本协议订立、履行及争议解决发生的费用（包括</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
          <w:bCs w:val="0"/>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）由</w:t>
      </w:r>
      <w:r>
        <w:rPr>
          <w:rFonts w:hint="eastAsia" w:asciiTheme="minorEastAsia" w:hAnsiTheme="minorEastAsia" w:eastAsiaTheme="minorEastAsia"/>
          <w:b/>
          <w:bCs w:val="0"/>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承担。</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13.8  甲方在本协议项下的权利是累加的，并不影响和排除甲方根据法律和其它协议对乙方所可以享有的任何权利。除非甲方书面表示，甲方对其任何权利的不行使、部分行使和/或延迟行使，均不构成对该权利的放弃或部分放弃，也不影响、阻止和妨碍甲方对该权利的继续行使或对其任何其它权利的行使。也不因此导致甲方对乙方承担义务和责任。</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13.9  本协议项下乙方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13.10  在协商、诉讼或仲裁期间，各方应本着诚信原则继续履行本协议不涉及争议的部分。</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 xml:space="preserve">13.11  在不影响本协议其他约定的情形下，本协议对各方及各方依法产生的承继人和受让人均具有法律约束力。  </w:t>
      </w:r>
    </w:p>
    <w:p>
      <w:pPr>
        <w:pStyle w:val="26"/>
        <w:spacing w:line="520" w:lineRule="exact"/>
        <w:ind w:firstLine="560" w:firstLineChars="200"/>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13.12  本协议中的标题和业务名称仅为指代的方便而使用，不得用于对条款内容及当事方权利义务的解释。</w:t>
      </w:r>
    </w:p>
    <w:p>
      <w:pPr>
        <w:pStyle w:val="26"/>
        <w:spacing w:line="520" w:lineRule="exact"/>
        <w:ind w:firstLine="562"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13.13  本协议为非格式协议，不做不利于任何一方的解释。如需对本协议内容进行解释，应当按照符合本协议项下交易的目的、交易程序、交易背景的原则进行。</w:t>
      </w:r>
    </w:p>
    <w:p>
      <w:pPr>
        <w:pStyle w:val="26"/>
        <w:spacing w:line="520" w:lineRule="exact"/>
        <w:ind w:firstLine="562"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13.14  本协议各条款由各方进行了充分协商，协议各方对协议各条款的内容（包括但不限于免除、减轻或加重各方责任、限制各方权利的条款）已完全知晓和理解，各方对本协议所有条款内容的理解不存在异议。</w:t>
      </w:r>
    </w:p>
    <w:p>
      <w:pPr>
        <w:pStyle w:val="26"/>
        <w:spacing w:line="520" w:lineRule="exact"/>
        <w:ind w:firstLine="560" w:firstLineChars="200"/>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13.15  本协议正本一式</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肆</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份，各方各执</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贰</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份，各正本均具同等法律效力。</w:t>
      </w: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w:t>
      </w:r>
      <w:r>
        <w:rPr>
          <w:rFonts w:hint="eastAsia" w:ascii="宋体" w:hAnsi="宋体"/>
          <w:color w:val="000000" w:themeColor="text1"/>
          <w:sz w:val="28"/>
          <w:szCs w:val="28"/>
          <w14:textFill>
            <w14:solidFill>
              <w14:schemeClr w14:val="tx1"/>
            </w14:solidFill>
          </w14:textFill>
        </w:rPr>
        <w:t>编号为</w:t>
      </w:r>
      <w:r>
        <w:rPr>
          <w:rFonts w:hint="eastAsia" w:ascii="宋体" w:hAnsi="宋体"/>
          <w:bCs/>
          <w:color w:val="000000" w:themeColor="text1"/>
          <w:sz w:val="28"/>
          <w:szCs w:val="28"/>
          <w14:textFill>
            <w14:solidFill>
              <w14:schemeClr w14:val="tx1"/>
            </w14:solidFill>
          </w14:textFill>
        </w:rPr>
        <w:t>[            ]《债权转让协议》的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w:t>
      </w:r>
      <w:r>
        <w:rPr>
          <w:rFonts w:hint="eastAsia" w:asciiTheme="minorEastAsia" w:hAnsiTheme="minorEastAsia" w:eastAsiaTheme="minorEastAsia"/>
          <w:color w:val="000000" w:themeColor="text1"/>
          <w:sz w:val="28"/>
          <w:szCs w:val="28"/>
          <w:lang w:eastAsia="zh-CN"/>
          <w14:textFill>
            <w14:solidFill>
              <w14:schemeClr w14:val="tx1"/>
            </w14:solidFill>
          </w14:textFill>
        </w:rPr>
        <w:t>中信金融</w:t>
      </w:r>
      <w:r>
        <w:rPr>
          <w:rFonts w:hint="eastAsia" w:asciiTheme="minorEastAsia" w:hAnsiTheme="minorEastAsia" w:eastAsiaTheme="minorEastAsia"/>
          <w:color w:val="000000" w:themeColor="text1"/>
          <w:sz w:val="28"/>
          <w:szCs w:val="28"/>
          <w14:textFill>
            <w14:solidFill>
              <w14:schemeClr w14:val="tx1"/>
            </w14:solidFill>
          </w14:textFill>
        </w:rPr>
        <w:t>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山东省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6"/>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5" w:name="_Toc100162855"/>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bookmarkEnd w:id="25"/>
    <w:p>
      <w:pPr>
        <w:spacing w:line="560" w:lineRule="exact"/>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标的债权清单</w:t>
      </w:r>
    </w:p>
    <w:p>
      <w:pPr>
        <w:keepNext w:val="0"/>
        <w:keepLines w:val="0"/>
        <w:widowControl/>
        <w:suppressLineNumbers w:val="0"/>
        <w:wordWrap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基准日：</w:t>
      </w:r>
      <w:r>
        <w:rPr>
          <w:rFonts w:hint="eastAsia" w:ascii="宋体" w:hAnsi="宋体" w:cs="宋体"/>
          <w:i w:val="0"/>
          <w:iCs w:val="0"/>
          <w:color w:val="000000"/>
          <w:kern w:val="0"/>
          <w:sz w:val="20"/>
          <w:szCs w:val="20"/>
          <w:u w:val="none"/>
          <w:lang w:val="en-US" w:eastAsia="zh-CN" w:bidi="ar"/>
        </w:rPr>
        <w:t>2026年5月20日</w:t>
      </w:r>
      <w:r>
        <w:rPr>
          <w:rFonts w:hint="eastAsia" w:ascii="宋体" w:hAnsi="宋体" w:eastAsia="宋体" w:cs="宋体"/>
          <w:i w:val="0"/>
          <w:iCs w:val="0"/>
          <w:color w:val="000000"/>
          <w:kern w:val="0"/>
          <w:sz w:val="20"/>
          <w:szCs w:val="20"/>
          <w:u w:val="none"/>
          <w:lang w:val="en-US" w:eastAsia="zh-CN" w:bidi="ar"/>
        </w:rPr>
        <w:t xml:space="preserve">                                           单位：人民币  元</w:t>
      </w:r>
    </w:p>
    <w:tbl>
      <w:tblPr>
        <w:tblStyle w:val="14"/>
        <w:tblpPr w:leftFromText="180" w:rightFromText="180" w:vertAnchor="text" w:horzAnchor="page" w:tblpXSpec="center" w:tblpY="311"/>
        <w:tblOverlap w:val="never"/>
        <w:tblW w:w="10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561"/>
        <w:gridCol w:w="1504"/>
        <w:gridCol w:w="1602"/>
        <w:gridCol w:w="2593"/>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61" w:type="dxa"/>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债务人</w:t>
            </w:r>
          </w:p>
        </w:tc>
        <w:tc>
          <w:tcPr>
            <w:tcW w:w="1504" w:type="dxa"/>
            <w:shd w:val="clear" w:color="auto"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D0D0D"/>
                <w:sz w:val="18"/>
                <w:szCs w:val="18"/>
                <w:u w:val="none"/>
              </w:rPr>
            </w:pPr>
            <w:r>
              <w:rPr>
                <w:rFonts w:hint="eastAsia" w:ascii="宋体" w:hAnsi="宋体" w:eastAsia="宋体" w:cs="宋体"/>
                <w:b/>
                <w:bCs/>
                <w:i w:val="0"/>
                <w:iCs w:val="0"/>
                <w:color w:val="0D0D0D"/>
                <w:kern w:val="0"/>
                <w:sz w:val="18"/>
                <w:szCs w:val="18"/>
                <w:u w:val="none"/>
                <w:lang w:val="en-US" w:eastAsia="zh-CN" w:bidi="ar"/>
              </w:rPr>
              <w:t>债权本金</w:t>
            </w:r>
          </w:p>
        </w:tc>
        <w:tc>
          <w:tcPr>
            <w:tcW w:w="1602" w:type="dxa"/>
            <w:shd w:val="clear" w:color="auto" w:fill="FFFFFF"/>
            <w:noWrap w:val="0"/>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0D0D0D"/>
                <w:sz w:val="18"/>
                <w:szCs w:val="18"/>
                <w:u w:val="none"/>
                <w:lang w:val="en-US"/>
              </w:rPr>
            </w:pPr>
            <w:r>
              <w:rPr>
                <w:rFonts w:hint="eastAsia" w:ascii="宋体" w:hAnsi="宋体" w:eastAsia="宋体" w:cs="宋体"/>
                <w:b/>
                <w:bCs/>
                <w:i w:val="0"/>
                <w:iCs w:val="0"/>
                <w:color w:val="0D0D0D"/>
                <w:kern w:val="0"/>
                <w:sz w:val="18"/>
                <w:szCs w:val="18"/>
                <w:u w:val="none"/>
                <w:lang w:val="en-US" w:eastAsia="zh-CN" w:bidi="ar"/>
              </w:rPr>
              <w:t>债权利息及其他</w:t>
            </w:r>
          </w:p>
        </w:tc>
        <w:tc>
          <w:tcPr>
            <w:tcW w:w="2593" w:type="dxa"/>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D0D0D"/>
                <w:kern w:val="0"/>
                <w:sz w:val="18"/>
                <w:szCs w:val="18"/>
                <w:u w:val="none"/>
                <w:lang w:val="en-US" w:eastAsia="zh-CN" w:bidi="ar"/>
              </w:rPr>
            </w:pPr>
            <w:r>
              <w:rPr>
                <w:rFonts w:hint="eastAsia" w:ascii="宋体" w:hAnsi="宋体" w:eastAsia="宋体" w:cs="宋体"/>
                <w:b/>
                <w:bCs/>
                <w:i w:val="0"/>
                <w:iCs w:val="0"/>
                <w:color w:val="0D0D0D"/>
                <w:kern w:val="0"/>
                <w:sz w:val="18"/>
                <w:szCs w:val="18"/>
                <w:u w:val="none"/>
                <w:lang w:val="en-US" w:eastAsia="zh-CN" w:bidi="ar"/>
              </w:rPr>
              <w:t>担保人</w:t>
            </w:r>
          </w:p>
        </w:tc>
        <w:tc>
          <w:tcPr>
            <w:tcW w:w="1996" w:type="dxa"/>
            <w:noWrap/>
            <w:vAlign w:val="center"/>
          </w:tcPr>
          <w:p>
            <w:pPr>
              <w:keepNext w:val="0"/>
              <w:keepLines w:val="0"/>
              <w:widowControl/>
              <w:suppressLineNumbers w:val="0"/>
              <w:spacing w:line="240" w:lineRule="auto"/>
              <w:jc w:val="center"/>
              <w:textAlignment w:val="center"/>
              <w:rPr>
                <w:rFonts w:hint="default" w:ascii="宋体" w:hAnsi="宋体" w:eastAsia="宋体" w:cs="宋体"/>
                <w:b/>
                <w:bCs/>
                <w:i w:val="0"/>
                <w:iCs w:val="0"/>
                <w:color w:val="0D0D0D"/>
                <w:kern w:val="0"/>
                <w:sz w:val="18"/>
                <w:szCs w:val="18"/>
                <w:u w:val="none"/>
                <w:lang w:val="en-US" w:eastAsia="zh-CN" w:bidi="ar"/>
              </w:rPr>
            </w:pPr>
            <w:r>
              <w:rPr>
                <w:rFonts w:hint="eastAsia" w:ascii="宋体" w:hAnsi="宋体" w:eastAsia="宋体" w:cs="宋体"/>
                <w:b/>
                <w:bCs/>
                <w:i w:val="0"/>
                <w:iCs w:val="0"/>
                <w:color w:val="0D0D0D"/>
                <w:kern w:val="0"/>
                <w:sz w:val="18"/>
                <w:szCs w:val="18"/>
                <w:u w:val="none"/>
                <w:lang w:val="en-US" w:eastAsia="zh-CN" w:bidi="ar"/>
              </w:rPr>
              <w:t>担保物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昌邑昌荣机械有限公司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1,204,159.73</w:t>
            </w:r>
          </w:p>
        </w:tc>
        <w:tc>
          <w:tcPr>
            <w:tcW w:w="2593" w:type="dxa"/>
            <w:noWrap/>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昌邑恒昌新材料科技有限公司、滕麟群、张星美、滕凤群、邢秀芝</w:t>
            </w:r>
          </w:p>
        </w:tc>
        <w:tc>
          <w:tcPr>
            <w:tcW w:w="1996" w:type="dxa"/>
            <w:noWrap/>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昌邑恒昌新材料科技有限公司工业用地抵押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2561" w:type="dxa"/>
            <w:noWrap/>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1,523,262.84</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潍坊浩泰机械有限责任公司、刘须涛、姚桂华</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昌邑市供销商场有限公司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11,272,127.41</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潍坊金冠霖电子科技有限公司、孙晓辉、卢燕芬</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供销商场以位于昌邑市利民街93号商业住宅用地，商业服务用房抵押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5,474,555.21</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昌邑市大有服装服饰有限公司、刘须涛、姚桂华</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24,800,000.00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2,299,585.47</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山东浩信机械有限公司、昌邑市大有服装服饰有限公司、昌邑大有纺织印染有限公司、刘须涛、姚桂华、刘须波、卢爱玲</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大有印染以设备抵押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24,900,000.00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2,085,475.89</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昌邑市杨金华纺织有限公司、山东浩信机械有限公司、潍坊鸢大纺织有限公司、刘须涛、姚桂华、杨金华</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29,400,000.00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7,397,051.13</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昌邑市大有服装服饰有限公司、刘须涛、姚桂华</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潍坊鸢华化学工业有限公司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33,000,000.00</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7,598,518.37</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鞠振宝、刘风玲</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鸢华化学以位于龙池工业园的工业土地及房产抵押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39,868,624.52</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3,861,651.88</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昌邑市杨金华纺织有限公司、昌邑市大有服装服饰有限公司、昌邑大有纺织印染有限公司、刘须涛、姚桂华、刘新学</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大有印染以设备抵押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2561"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山东大有印染织造有限公司</w:t>
            </w: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89,959,992.36</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21,262,830.67</w:t>
            </w:r>
          </w:p>
        </w:tc>
        <w:tc>
          <w:tcPr>
            <w:tcW w:w="2593"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昌邑市大有服装服饰有限公司、山东昌邑灶户盐化有限公司、昌邑市杨金华纺织有限公司、刘须涛、姚桂华、刘须波、卢爱玲</w:t>
            </w:r>
          </w:p>
        </w:tc>
        <w:tc>
          <w:tcPr>
            <w:tcW w:w="1996" w:type="dxa"/>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大有印染以设备抵押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10" w:type="dxa"/>
            <w:noWrap/>
            <w:vAlign w:val="center"/>
          </w:tcPr>
          <w:p>
            <w:pPr>
              <w:spacing w:line="240" w:lineRule="auto"/>
              <w:jc w:val="center"/>
              <w:rPr>
                <w:rFonts w:hint="eastAsia" w:ascii="宋体" w:hAnsi="宋体" w:eastAsia="宋体" w:cs="宋体"/>
                <w:kern w:val="0"/>
                <w:sz w:val="18"/>
                <w:szCs w:val="18"/>
                <w:lang w:val="en-US" w:eastAsia="zh-CN"/>
              </w:rPr>
            </w:pPr>
          </w:p>
        </w:tc>
        <w:tc>
          <w:tcPr>
            <w:tcW w:w="2561" w:type="dxa"/>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04"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298,328,616.88</w:t>
            </w:r>
          </w:p>
        </w:tc>
        <w:tc>
          <w:tcPr>
            <w:tcW w:w="1602" w:type="dxa"/>
            <w:noWrap w:val="0"/>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63,979,218.60</w:t>
            </w:r>
          </w:p>
        </w:tc>
        <w:tc>
          <w:tcPr>
            <w:tcW w:w="2593" w:type="dxa"/>
            <w:noWrap/>
            <w:vAlign w:val="center"/>
          </w:tcPr>
          <w:p>
            <w:pPr>
              <w:keepNext w:val="0"/>
              <w:keepLines w:val="0"/>
              <w:widowControl/>
              <w:suppressLineNumbers w:val="0"/>
              <w:spacing w:line="240" w:lineRule="auto"/>
              <w:jc w:val="center"/>
              <w:textAlignment w:val="center"/>
              <w:rPr>
                <w:rFonts w:hint="eastAsia" w:ascii="宋体" w:hAnsi="宋体" w:eastAsia="宋体" w:cs="宋体"/>
                <w:kern w:val="0"/>
                <w:sz w:val="18"/>
                <w:szCs w:val="18"/>
                <w:lang w:val="en-US" w:eastAsia="zh-CN"/>
              </w:rPr>
            </w:pPr>
          </w:p>
        </w:tc>
        <w:tc>
          <w:tcPr>
            <w:tcW w:w="1996" w:type="dxa"/>
            <w:noWrap/>
            <w:vAlign w:val="center"/>
          </w:tcPr>
          <w:p>
            <w:pPr>
              <w:spacing w:line="240" w:lineRule="auto"/>
              <w:jc w:val="center"/>
              <w:rPr>
                <w:rFonts w:hint="eastAsia" w:ascii="宋体" w:hAnsi="宋体" w:eastAsia="宋体" w:cs="宋体"/>
                <w:kern w:val="0"/>
                <w:sz w:val="18"/>
                <w:szCs w:val="18"/>
                <w:lang w:val="en-US" w:eastAsia="zh-CN"/>
              </w:rPr>
            </w:pPr>
          </w:p>
        </w:tc>
      </w:tr>
    </w:tbl>
    <w:p>
      <w:pPr>
        <w:pStyle w:val="26"/>
        <w:tabs>
          <w:tab w:val="left" w:pos="4680"/>
        </w:tabs>
        <w:spacing w:line="400" w:lineRule="exact"/>
        <w:rPr>
          <w:rFonts w:ascii="宋体" w:hAnsi="宋体"/>
          <w:bCs/>
          <w:color w:val="000000" w:themeColor="text1"/>
          <w:szCs w:val="24"/>
          <w14:textFill>
            <w14:solidFill>
              <w14:schemeClr w14:val="tx1"/>
            </w14:solidFill>
          </w14:textFill>
        </w:rPr>
      </w:pPr>
    </w:p>
    <w:p>
      <w:pPr>
        <w:widowControl/>
        <w:spacing w:line="360" w:lineRule="auto"/>
        <w:ind w:firstLine="480" w:firstLineChars="200"/>
        <w:jc w:val="left"/>
        <w:rPr>
          <w:rFonts w:ascii="宋体" w:hAnsi="宋体" w:cs="宋体"/>
          <w:kern w:val="0"/>
          <w:sz w:val="24"/>
          <w:szCs w:val="24"/>
        </w:rPr>
      </w:pPr>
      <w:r>
        <w:rPr>
          <w:rFonts w:hint="eastAsia" w:ascii="宋体" w:hAnsi="宋体"/>
          <w:bCs/>
          <w:color w:val="000000" w:themeColor="text1"/>
          <w:sz w:val="24"/>
          <w:szCs w:val="24"/>
          <w14:textFill>
            <w14:solidFill>
              <w14:schemeClr w14:val="tx1"/>
            </w14:solidFill>
          </w14:textFill>
        </w:rPr>
        <w:t>注</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cs="宋体"/>
          <w:kern w:val="0"/>
          <w:sz w:val="24"/>
          <w:szCs w:val="24"/>
        </w:rPr>
        <w:t>1</w:t>
      </w:r>
      <w:r>
        <w:rPr>
          <w:rFonts w:hint="eastAsia" w:ascii="宋体" w:hAnsi="宋体" w:cs="宋体"/>
          <w:kern w:val="0"/>
          <w:sz w:val="24"/>
          <w:szCs w:val="24"/>
          <w:lang w:val="en-US" w:eastAsia="zh-CN"/>
        </w:rPr>
        <w:t>.</w:t>
      </w:r>
      <w:r>
        <w:rPr>
          <w:rFonts w:hint="eastAsia" w:ascii="宋体" w:hAnsi="宋体" w:cs="宋体"/>
          <w:kern w:val="0"/>
          <w:sz w:val="24"/>
          <w:szCs w:val="24"/>
        </w:rPr>
        <w:t>本清单列示截至基准日的债权本金、利息余额</w:t>
      </w:r>
      <w:r>
        <w:rPr>
          <w:rFonts w:hint="eastAsia" w:ascii="宋体" w:hAnsi="宋体" w:cs="宋体"/>
          <w:kern w:val="0"/>
          <w:sz w:val="24"/>
          <w:szCs w:val="24"/>
          <w:lang w:val="en-US" w:eastAsia="zh-CN"/>
        </w:rPr>
        <w:t>及其他债权</w:t>
      </w:r>
      <w:r>
        <w:rPr>
          <w:rFonts w:hint="eastAsia" w:ascii="宋体" w:hAnsi="宋体" w:cs="宋体"/>
          <w:kern w:val="0"/>
          <w:sz w:val="24"/>
          <w:szCs w:val="24"/>
        </w:rPr>
        <w:t>，基准日后债务人和担保人应支付的利息、违约金、相关费用等按照相关合同协议、生效法律文书及法律法规的规定计算。上述债权及其项下权利义务一并转让。</w:t>
      </w:r>
    </w:p>
    <w:p>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w:t>
      </w:r>
      <w:r>
        <w:rPr>
          <w:rFonts w:hint="eastAsia" w:ascii="宋体" w:hAnsi="宋体" w:cs="宋体"/>
          <w:kern w:val="0"/>
          <w:sz w:val="24"/>
          <w:szCs w:val="24"/>
        </w:rPr>
        <w:t>若债务人、担保人因各种原因更名、改制、歇业、吊销营业执照或丧失民事主体资格的，请相关承债主体及/或主管部门代为履行义务或履行清算责任。</w:t>
      </w:r>
    </w:p>
    <w:p>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清单中的“担保人”包括保证人、抵押人、出质人。</w:t>
      </w:r>
    </w:p>
    <w:p>
      <w:pPr>
        <w:widowControl/>
        <w:spacing w:line="360" w:lineRule="auto"/>
        <w:ind w:firstLine="481"/>
        <w:jc w:val="left"/>
        <w:rPr>
          <w:rFonts w:ascii="宋体" w:hAnsi="宋体" w:cs="宋体"/>
          <w:kern w:val="0"/>
          <w:sz w:val="24"/>
          <w:szCs w:val="24"/>
        </w:rPr>
      </w:pPr>
      <w:r>
        <w:rPr>
          <w:rFonts w:hint="eastAsia" w:ascii="宋体" w:hAnsi="宋体" w:cs="宋体"/>
          <w:kern w:val="0"/>
          <w:sz w:val="24"/>
          <w:szCs w:val="24"/>
        </w:rPr>
        <w:t>4</w:t>
      </w:r>
      <w:r>
        <w:rPr>
          <w:rFonts w:hint="eastAsia" w:ascii="宋体" w:hAnsi="宋体" w:cs="宋体"/>
          <w:kern w:val="0"/>
          <w:sz w:val="24"/>
          <w:szCs w:val="24"/>
          <w:lang w:val="en-US" w:eastAsia="zh-CN"/>
        </w:rPr>
        <w:t>.</w:t>
      </w:r>
      <w:r>
        <w:rPr>
          <w:rFonts w:hint="eastAsia" w:ascii="宋体" w:hAnsi="宋体" w:cs="宋体"/>
          <w:kern w:val="0"/>
          <w:sz w:val="24"/>
          <w:szCs w:val="24"/>
        </w:rPr>
        <w:t>如清单中债务人、债权金额、担保人等信息与事实不符的，以相关合同、生效法律文书等为准。</w:t>
      </w:r>
    </w:p>
    <w:p>
      <w:pPr>
        <w:pStyle w:val="26"/>
        <w:widowControl w:val="0"/>
        <w:tabs>
          <w:tab w:val="left" w:pos="4680"/>
        </w:tabs>
        <w:spacing w:line="560" w:lineRule="exact"/>
        <w:rPr>
          <w:rFonts w:ascii="宋体" w:hAnsi="宋体"/>
          <w:bCs/>
          <w:color w:val="000000" w:themeColor="text1"/>
          <w:sz w:val="28"/>
          <w:szCs w:val="28"/>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3"/>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6" w:name="_Toc420939166"/>
      <w:bookmarkStart w:id="27" w:name="_Toc340744028"/>
      <w:bookmarkStart w:id="28" w:name="_Toc232937585"/>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val="en-US"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6"/>
      <w:bookmarkEnd w:id="27"/>
      <w:bookmarkEnd w:id="28"/>
    </w:p>
    <w:p>
      <w:pPr>
        <w:pStyle w:val="32"/>
        <w:spacing w:after="240" w:line="400" w:lineRule="exact"/>
        <w:jc w:val="both"/>
        <w:rPr>
          <w:rFonts w:asciiTheme="minorEastAsia" w:hAnsiTheme="minorEastAsia" w:eastAsiaTheme="minorEastAsia"/>
          <w:color w:val="000000" w:themeColor="text1"/>
          <w14:textFill>
            <w14:solidFill>
              <w14:schemeClr w14:val="tx1"/>
            </w14:solidFill>
          </w14:textFill>
        </w:rPr>
      </w:pPr>
    </w:p>
    <w:p>
      <w:pPr>
        <w:pStyle w:val="32"/>
        <w:spacing w:after="240" w:line="400" w:lineRule="exact"/>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资产管理股份有限公司_____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lang w:val="en-US" w:eastAsia="zh-CN"/>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中信金融资产</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lang w:val="en-US" w:eastAsia="zh-CN"/>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4"/>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w:t>
            </w:r>
            <w:r>
              <w:rPr>
                <w:rFonts w:hint="eastAsia" w:asciiTheme="minorEastAsia" w:hAnsiTheme="minorEastAsia" w:eastAsiaTheme="minorEastAsia"/>
                <w:color w:val="000000" w:themeColor="text1"/>
                <w:sz w:val="24"/>
                <w:szCs w:val="20"/>
                <w:lang w:eastAsia="zh-CN"/>
                <w14:textFill>
                  <w14:solidFill>
                    <w14:schemeClr w14:val="tx1"/>
                  </w14:solidFill>
                </w14:textFill>
              </w:rPr>
              <w:t>中信金融</w:t>
            </w:r>
            <w:r>
              <w:rPr>
                <w:rFonts w:hint="eastAsia" w:asciiTheme="minorEastAsia" w:hAnsiTheme="minorEastAsia" w:eastAsiaTheme="minorEastAsia"/>
                <w:color w:val="000000" w:themeColor="text1"/>
                <w:sz w:val="24"/>
                <w:szCs w:val="20"/>
                <w14:textFill>
                  <w14:solidFill>
                    <w14:schemeClr w14:val="tx1"/>
                  </w14:solidFill>
                </w14:textFill>
              </w:rPr>
              <w:t>资产管理股份有限公司</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_____分公司（盖章）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法定代表人/负责人/授权代理人：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pPr>
        <w:pStyle w:val="32"/>
        <w:spacing w:after="240" w:line="400" w:lineRule="exact"/>
        <w:jc w:val="right"/>
        <w:rPr>
          <w:rFonts w:asciiTheme="minorEastAsia" w:hAnsiTheme="minorEastAsia" w:eastAsiaTheme="minorEastAsia"/>
          <w:b/>
          <w:color w:val="000000" w:themeColor="text1"/>
          <w14:textFill>
            <w14:solidFill>
              <w14:schemeClr w14:val="tx1"/>
            </w14:solidFill>
          </w14:textFill>
        </w:rPr>
      </w:pPr>
      <w:bookmarkStart w:id="29" w:name="_Toc340744029"/>
      <w:bookmarkStart w:id="30"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29"/>
      <w:bookmarkEnd w:id="30"/>
    </w:p>
    <w:p>
      <w:pPr>
        <w:spacing w:after="240" w:line="400" w:lineRule="exact"/>
        <w:jc w:val="center"/>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名称、编号（或</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签订时间）</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名称、编号（或</w:t>
            </w:r>
            <w:r>
              <w:rPr>
                <w:rFonts w:hint="eastAsia" w:asciiTheme="minorEastAsia" w:hAnsiTheme="minorEastAsia" w:eastAsiaTheme="minorEastAsia"/>
                <w:bCs/>
                <w:color w:val="000000" w:themeColor="text1"/>
                <w:sz w:val="18"/>
                <w:szCs w:val="18"/>
                <w:lang w:val="en-US" w:eastAsia="zh-CN"/>
                <w14:textFill>
                  <w14:solidFill>
                    <w14:schemeClr w14:val="tx1"/>
                  </w14:solidFill>
                </w14:textFill>
              </w:rPr>
              <w:t>协议</w:t>
            </w:r>
            <w:r>
              <w:rPr>
                <w:rFonts w:hint="eastAsia" w:asciiTheme="minorEastAsia" w:hAnsiTheme="minorEastAsia" w:eastAsiaTheme="minorEastAsia"/>
                <w:bCs/>
                <w:color w:val="000000" w:themeColor="text1"/>
                <w:sz w:val="18"/>
                <w:szCs w:val="18"/>
                <w14:textFill>
                  <w14:solidFill>
                    <w14:schemeClr w14:val="tx1"/>
                  </w14:solidFill>
                </w14:textFill>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bl>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pPr>
        <w:spacing w:before="80" w:after="80" w:line="360" w:lineRule="auto"/>
        <w:ind w:firstLine="3717" w:firstLineChars="177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bookmarkStart w:id="31" w:name="_GoBack"/>
      <w:bookmarkEnd w:id="31"/>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4"/>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3230F3"/>
    <w:rsid w:val="01397C9C"/>
    <w:rsid w:val="015676BF"/>
    <w:rsid w:val="01941722"/>
    <w:rsid w:val="01ED30B6"/>
    <w:rsid w:val="024D552A"/>
    <w:rsid w:val="029C1F55"/>
    <w:rsid w:val="02B81885"/>
    <w:rsid w:val="02CF14AA"/>
    <w:rsid w:val="033C7B51"/>
    <w:rsid w:val="03525630"/>
    <w:rsid w:val="03DA4A5D"/>
    <w:rsid w:val="041F3E12"/>
    <w:rsid w:val="04467D92"/>
    <w:rsid w:val="046D5972"/>
    <w:rsid w:val="0564268C"/>
    <w:rsid w:val="05E5754B"/>
    <w:rsid w:val="05EA6510"/>
    <w:rsid w:val="068D758D"/>
    <w:rsid w:val="075D78FC"/>
    <w:rsid w:val="084044DD"/>
    <w:rsid w:val="085801BC"/>
    <w:rsid w:val="089E0A55"/>
    <w:rsid w:val="098375FB"/>
    <w:rsid w:val="0AF11E5E"/>
    <w:rsid w:val="0B697E78"/>
    <w:rsid w:val="0BB0283D"/>
    <w:rsid w:val="0C415D71"/>
    <w:rsid w:val="0C767E33"/>
    <w:rsid w:val="0CEC47C3"/>
    <w:rsid w:val="0D473C2E"/>
    <w:rsid w:val="0DF72F8F"/>
    <w:rsid w:val="0E381596"/>
    <w:rsid w:val="0EEF0710"/>
    <w:rsid w:val="0EFE4C65"/>
    <w:rsid w:val="0F27347B"/>
    <w:rsid w:val="0F276A6D"/>
    <w:rsid w:val="0F752EA3"/>
    <w:rsid w:val="0FCE22FD"/>
    <w:rsid w:val="122968D9"/>
    <w:rsid w:val="13800A72"/>
    <w:rsid w:val="13DA081E"/>
    <w:rsid w:val="144B7A97"/>
    <w:rsid w:val="14B22A7F"/>
    <w:rsid w:val="14ED293C"/>
    <w:rsid w:val="154A7873"/>
    <w:rsid w:val="16AA748F"/>
    <w:rsid w:val="16B212CB"/>
    <w:rsid w:val="18C57A32"/>
    <w:rsid w:val="19D3216D"/>
    <w:rsid w:val="19DB276A"/>
    <w:rsid w:val="1B4F4EDD"/>
    <w:rsid w:val="1B6F4296"/>
    <w:rsid w:val="1BBB420C"/>
    <w:rsid w:val="1BD46E39"/>
    <w:rsid w:val="1C943EEF"/>
    <w:rsid w:val="1CBA66FB"/>
    <w:rsid w:val="1D536262"/>
    <w:rsid w:val="1D892799"/>
    <w:rsid w:val="1F685851"/>
    <w:rsid w:val="1F6C0130"/>
    <w:rsid w:val="1FE04F02"/>
    <w:rsid w:val="1FFF2036"/>
    <w:rsid w:val="20B13FB4"/>
    <w:rsid w:val="20BE097B"/>
    <w:rsid w:val="20F77BEB"/>
    <w:rsid w:val="2204230C"/>
    <w:rsid w:val="22221455"/>
    <w:rsid w:val="22873935"/>
    <w:rsid w:val="22946A13"/>
    <w:rsid w:val="22BA72A8"/>
    <w:rsid w:val="23A848B2"/>
    <w:rsid w:val="23E2706A"/>
    <w:rsid w:val="242642DB"/>
    <w:rsid w:val="24651B2D"/>
    <w:rsid w:val="24916D80"/>
    <w:rsid w:val="258A19A4"/>
    <w:rsid w:val="26F052A6"/>
    <w:rsid w:val="270757C8"/>
    <w:rsid w:val="28151CC0"/>
    <w:rsid w:val="28205186"/>
    <w:rsid w:val="28F65B07"/>
    <w:rsid w:val="2A1A63AB"/>
    <w:rsid w:val="2A32471A"/>
    <w:rsid w:val="2B697EA4"/>
    <w:rsid w:val="2B9C641C"/>
    <w:rsid w:val="2C921477"/>
    <w:rsid w:val="2CAD2B77"/>
    <w:rsid w:val="2D017EE1"/>
    <w:rsid w:val="2D3C4843"/>
    <w:rsid w:val="2EA61897"/>
    <w:rsid w:val="2ED20A77"/>
    <w:rsid w:val="2EE93605"/>
    <w:rsid w:val="30146DD2"/>
    <w:rsid w:val="30BB3500"/>
    <w:rsid w:val="31BF0359"/>
    <w:rsid w:val="31C75C18"/>
    <w:rsid w:val="32245F0E"/>
    <w:rsid w:val="323E02C2"/>
    <w:rsid w:val="3297178C"/>
    <w:rsid w:val="329E1117"/>
    <w:rsid w:val="32CB1A44"/>
    <w:rsid w:val="33576347"/>
    <w:rsid w:val="338B2FA8"/>
    <w:rsid w:val="34A76F6E"/>
    <w:rsid w:val="35507787"/>
    <w:rsid w:val="3566192B"/>
    <w:rsid w:val="366208C9"/>
    <w:rsid w:val="3718671E"/>
    <w:rsid w:val="376F7781"/>
    <w:rsid w:val="37880D2F"/>
    <w:rsid w:val="37FF078B"/>
    <w:rsid w:val="3875702F"/>
    <w:rsid w:val="387F0E8A"/>
    <w:rsid w:val="39343BEA"/>
    <w:rsid w:val="39961B7F"/>
    <w:rsid w:val="3A5E23D3"/>
    <w:rsid w:val="3A8E5120"/>
    <w:rsid w:val="3B231786"/>
    <w:rsid w:val="3BFD2D30"/>
    <w:rsid w:val="3CA63F8F"/>
    <w:rsid w:val="3CB91DAE"/>
    <w:rsid w:val="3CBF2E36"/>
    <w:rsid w:val="3CD31AD7"/>
    <w:rsid w:val="3CDB71B4"/>
    <w:rsid w:val="3CFD16D2"/>
    <w:rsid w:val="3D690634"/>
    <w:rsid w:val="3D6B0D9C"/>
    <w:rsid w:val="3DC7550C"/>
    <w:rsid w:val="3E2A2088"/>
    <w:rsid w:val="3E4A28AD"/>
    <w:rsid w:val="3E5F0364"/>
    <w:rsid w:val="3EA02FC4"/>
    <w:rsid w:val="3F39088B"/>
    <w:rsid w:val="402818D6"/>
    <w:rsid w:val="411617D6"/>
    <w:rsid w:val="41D91542"/>
    <w:rsid w:val="42622E8A"/>
    <w:rsid w:val="42FA77EF"/>
    <w:rsid w:val="42FB2E4B"/>
    <w:rsid w:val="43056A83"/>
    <w:rsid w:val="43DD4F5D"/>
    <w:rsid w:val="448A77B2"/>
    <w:rsid w:val="45562AD0"/>
    <w:rsid w:val="458C2FAA"/>
    <w:rsid w:val="46157EB1"/>
    <w:rsid w:val="46D47B74"/>
    <w:rsid w:val="46FF1807"/>
    <w:rsid w:val="47106D8C"/>
    <w:rsid w:val="47A603FE"/>
    <w:rsid w:val="47C600BE"/>
    <w:rsid w:val="484C25FE"/>
    <w:rsid w:val="489D5DB0"/>
    <w:rsid w:val="4983062C"/>
    <w:rsid w:val="4A5A1AB4"/>
    <w:rsid w:val="4A96396C"/>
    <w:rsid w:val="4AED18C4"/>
    <w:rsid w:val="4B3B40FA"/>
    <w:rsid w:val="4B737AD7"/>
    <w:rsid w:val="4BDC75E2"/>
    <w:rsid w:val="4C5B2C5A"/>
    <w:rsid w:val="4CAA4EF6"/>
    <w:rsid w:val="4CB8339F"/>
    <w:rsid w:val="4CE715F3"/>
    <w:rsid w:val="4D3A7EED"/>
    <w:rsid w:val="4E4A6258"/>
    <w:rsid w:val="4E6728FD"/>
    <w:rsid w:val="4E7E09D4"/>
    <w:rsid w:val="4EF16577"/>
    <w:rsid w:val="4F664C06"/>
    <w:rsid w:val="4F8F6EC1"/>
    <w:rsid w:val="4FAA1D01"/>
    <w:rsid w:val="4FC71258"/>
    <w:rsid w:val="50C6193C"/>
    <w:rsid w:val="51170698"/>
    <w:rsid w:val="511F5AA4"/>
    <w:rsid w:val="512D0A9D"/>
    <w:rsid w:val="513E2AD6"/>
    <w:rsid w:val="51714A5C"/>
    <w:rsid w:val="51A2722D"/>
    <w:rsid w:val="51D303AF"/>
    <w:rsid w:val="5228716A"/>
    <w:rsid w:val="528266ED"/>
    <w:rsid w:val="52D214C8"/>
    <w:rsid w:val="536C7385"/>
    <w:rsid w:val="53B87967"/>
    <w:rsid w:val="546E4D68"/>
    <w:rsid w:val="54E37180"/>
    <w:rsid w:val="54F20968"/>
    <w:rsid w:val="55802710"/>
    <w:rsid w:val="56191A4F"/>
    <w:rsid w:val="56B31C4E"/>
    <w:rsid w:val="58B62318"/>
    <w:rsid w:val="590B7824"/>
    <w:rsid w:val="597C685E"/>
    <w:rsid w:val="5A496382"/>
    <w:rsid w:val="5A841633"/>
    <w:rsid w:val="5B223553"/>
    <w:rsid w:val="5B3E42C0"/>
    <w:rsid w:val="5BA17B6C"/>
    <w:rsid w:val="5D207CD9"/>
    <w:rsid w:val="5D410290"/>
    <w:rsid w:val="5DEE5DA8"/>
    <w:rsid w:val="5E031879"/>
    <w:rsid w:val="5E611EA8"/>
    <w:rsid w:val="5ED44DA1"/>
    <w:rsid w:val="60A55345"/>
    <w:rsid w:val="60DA41F1"/>
    <w:rsid w:val="62572464"/>
    <w:rsid w:val="627D223D"/>
    <w:rsid w:val="6354115D"/>
    <w:rsid w:val="641649C3"/>
    <w:rsid w:val="644D291F"/>
    <w:rsid w:val="64A2599C"/>
    <w:rsid w:val="6617798C"/>
    <w:rsid w:val="673274DF"/>
    <w:rsid w:val="67992BBF"/>
    <w:rsid w:val="67D4101E"/>
    <w:rsid w:val="684C53AD"/>
    <w:rsid w:val="68EB4053"/>
    <w:rsid w:val="6984338D"/>
    <w:rsid w:val="69A01157"/>
    <w:rsid w:val="6A2471B2"/>
    <w:rsid w:val="6A5401FE"/>
    <w:rsid w:val="6AB219F3"/>
    <w:rsid w:val="6AF50D05"/>
    <w:rsid w:val="6B9E2B02"/>
    <w:rsid w:val="6BD25174"/>
    <w:rsid w:val="6C0B4266"/>
    <w:rsid w:val="6DFB42FF"/>
    <w:rsid w:val="6DFD7802"/>
    <w:rsid w:val="6E4A407E"/>
    <w:rsid w:val="6E992E86"/>
    <w:rsid w:val="6F113E47"/>
    <w:rsid w:val="6F1410FE"/>
    <w:rsid w:val="6F2443B5"/>
    <w:rsid w:val="6F30705D"/>
    <w:rsid w:val="6F3A720A"/>
    <w:rsid w:val="6F4A5808"/>
    <w:rsid w:val="6F7A6DCE"/>
    <w:rsid w:val="6FB33650"/>
    <w:rsid w:val="70964DE9"/>
    <w:rsid w:val="70DB4A60"/>
    <w:rsid w:val="717B51BA"/>
    <w:rsid w:val="72500661"/>
    <w:rsid w:val="75A6706A"/>
    <w:rsid w:val="75AF1087"/>
    <w:rsid w:val="75D44E5F"/>
    <w:rsid w:val="76294569"/>
    <w:rsid w:val="76C57C6B"/>
    <w:rsid w:val="76CF057A"/>
    <w:rsid w:val="784E1CF0"/>
    <w:rsid w:val="78A649A6"/>
    <w:rsid w:val="79416D2A"/>
    <w:rsid w:val="795939E6"/>
    <w:rsid w:val="7984759A"/>
    <w:rsid w:val="7A9C7ED4"/>
    <w:rsid w:val="7AFF21C7"/>
    <w:rsid w:val="7B1750CC"/>
    <w:rsid w:val="7BC94525"/>
    <w:rsid w:val="7C122FF1"/>
    <w:rsid w:val="7DD26FEA"/>
    <w:rsid w:val="7E3748CF"/>
    <w:rsid w:val="7F255CC0"/>
    <w:rsid w:val="7FB3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4">
    <w:name w:val="heading 2"/>
    <w:basedOn w:val="1"/>
    <w:next w:val="1"/>
    <w:link w:val="22"/>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annotation text"/>
    <w:basedOn w:val="1"/>
    <w:unhideWhenUsed/>
    <w:qFormat/>
    <w:uiPriority w:val="99"/>
    <w:pPr>
      <w:jc w:val="left"/>
    </w:pPr>
  </w:style>
  <w:style w:type="paragraph" w:styleId="6">
    <w:name w:val="Body Text"/>
    <w:basedOn w:val="1"/>
    <w:link w:val="23"/>
    <w:qFormat/>
    <w:uiPriority w:val="0"/>
    <w:pPr>
      <w:ind w:firstLine="1440"/>
    </w:pPr>
    <w:rPr>
      <w:rFonts w:eastAsia="Batang"/>
      <w:kern w:val="0"/>
      <w:sz w:val="22"/>
      <w:szCs w:val="22"/>
      <w:lang w:eastAsia="ko-KR"/>
    </w:rPr>
  </w:style>
  <w:style w:type="paragraph" w:styleId="7">
    <w:name w:val="index 4"/>
    <w:basedOn w:val="1"/>
    <w:next w:val="1"/>
    <w:qFormat/>
    <w:uiPriority w:val="0"/>
    <w:pPr>
      <w:ind w:firstLine="712" w:firstLineChars="200"/>
    </w:pPr>
    <w:rPr>
      <w:szCs w:val="24"/>
    </w:rPr>
  </w:style>
  <w:style w:type="paragraph" w:styleId="8">
    <w:name w:val="Date"/>
    <w:basedOn w:val="1"/>
    <w:next w:val="1"/>
    <w:link w:val="27"/>
    <w:unhideWhenUsed/>
    <w:qFormat/>
    <w:uiPriority w:val="99"/>
    <w:pPr>
      <w:ind w:left="100" w:leftChars="2500"/>
    </w:pPr>
  </w:style>
  <w:style w:type="paragraph" w:styleId="9">
    <w:name w:val="Body Text Indent 2"/>
    <w:basedOn w:val="1"/>
    <w:link w:val="24"/>
    <w:qFormat/>
    <w:uiPriority w:val="0"/>
    <w:pPr>
      <w:spacing w:after="120" w:line="480" w:lineRule="auto"/>
      <w:ind w:left="200" w:leftChars="200"/>
    </w:pPr>
  </w:style>
  <w:style w:type="paragraph" w:styleId="10">
    <w:name w:val="Balloon Text"/>
    <w:basedOn w:val="1"/>
    <w:link w:val="2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3"/>
    <w:qFormat/>
    <w:uiPriority w:val="0"/>
    <w:rPr>
      <w:rFonts w:ascii="Times New Roman" w:hAnsi="Times New Roman" w:eastAsia="宋体" w:cs="Times New Roman"/>
      <w:b/>
      <w:caps/>
      <w:color w:val="0000FF"/>
      <w:kern w:val="36"/>
      <w:sz w:val="22"/>
      <w:lang w:eastAsia="ko-KR"/>
    </w:rPr>
  </w:style>
  <w:style w:type="character" w:customStyle="1" w:styleId="22">
    <w:name w:val="标题 2 Char"/>
    <w:basedOn w:val="16"/>
    <w:link w:val="4"/>
    <w:qFormat/>
    <w:uiPriority w:val="0"/>
    <w:rPr>
      <w:rFonts w:ascii="Times New Roman" w:hAnsi="Times New Roman" w:eastAsia="宋体" w:cs="Times New Roman"/>
      <w:b/>
      <w:color w:val="0000FF"/>
      <w:kern w:val="0"/>
      <w:sz w:val="22"/>
      <w:lang w:eastAsia="ko-KR"/>
    </w:rPr>
  </w:style>
  <w:style w:type="character" w:customStyle="1" w:styleId="23">
    <w:name w:val="正文文本 Char"/>
    <w:basedOn w:val="16"/>
    <w:link w:val="6"/>
    <w:qFormat/>
    <w:uiPriority w:val="0"/>
    <w:rPr>
      <w:rFonts w:ascii="Times New Roman" w:hAnsi="Times New Roman" w:eastAsia="Batang" w:cs="Times New Roman"/>
      <w:kern w:val="0"/>
      <w:sz w:val="22"/>
      <w:lang w:eastAsia="ko-KR"/>
    </w:rPr>
  </w:style>
  <w:style w:type="character" w:customStyle="1" w:styleId="24">
    <w:name w:val="正文文本缩进 2 Char"/>
    <w:basedOn w:val="16"/>
    <w:link w:val="9"/>
    <w:qFormat/>
    <w:uiPriority w:val="0"/>
    <w:rPr>
      <w:rFonts w:ascii="Times New Roman" w:hAnsi="Times New Roman" w:eastAsia="宋体" w:cs="Times New Roman"/>
      <w:szCs w:val="20"/>
    </w:rPr>
  </w:style>
  <w:style w:type="paragraph" w:customStyle="1" w:styleId="25">
    <w:name w:val="Body Text First Indent just"/>
    <w:next w:val="6"/>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6">
    <w:name w:val="Normal (Justified)"/>
    <w:basedOn w:val="1"/>
    <w:qFormat/>
    <w:uiPriority w:val="0"/>
    <w:pPr>
      <w:widowControl/>
    </w:pPr>
    <w:rPr>
      <w:snapToGrid w:val="0"/>
      <w:kern w:val="28"/>
      <w:sz w:val="24"/>
    </w:rPr>
  </w:style>
  <w:style w:type="character" w:customStyle="1" w:styleId="27">
    <w:name w:val="日期 Char"/>
    <w:basedOn w:val="16"/>
    <w:link w:val="8"/>
    <w:semiHidden/>
    <w:qFormat/>
    <w:uiPriority w:val="99"/>
    <w:rPr>
      <w:rFonts w:ascii="Times New Roman" w:hAnsi="Times New Roman" w:eastAsia="宋体" w:cs="Times New Roman"/>
      <w:szCs w:val="20"/>
    </w:rPr>
  </w:style>
  <w:style w:type="character" w:customStyle="1" w:styleId="28">
    <w:name w:val="批注框文本 Char"/>
    <w:basedOn w:val="16"/>
    <w:link w:val="10"/>
    <w:semiHidden/>
    <w:qFormat/>
    <w:uiPriority w:val="99"/>
    <w:rPr>
      <w:rFonts w:ascii="Times New Roman" w:hAnsi="Times New Roman" w:eastAsia="宋体" w:cs="Times New Roman"/>
      <w:sz w:val="18"/>
      <w:szCs w:val="18"/>
    </w:rPr>
  </w:style>
  <w:style w:type="paragraph" w:customStyle="1" w:styleId="29">
    <w:name w:val="Char Char Char"/>
    <w:basedOn w:val="1"/>
    <w:qFormat/>
    <w:uiPriority w:val="0"/>
    <w:pPr>
      <w:adjustRightInd w:val="0"/>
    </w:pPr>
    <w:rPr>
      <w:szCs w:val="24"/>
    </w:rPr>
  </w:style>
  <w:style w:type="paragraph" w:customStyle="1" w:styleId="30">
    <w:name w:val="列出段落1"/>
    <w:basedOn w:val="1"/>
    <w:unhideWhenUsed/>
    <w:qFormat/>
    <w:uiPriority w:val="99"/>
    <w:pPr>
      <w:ind w:firstLine="420" w:firstLineChars="200"/>
    </w:pPr>
  </w:style>
  <w:style w:type="paragraph" w:customStyle="1" w:styleId="31">
    <w:name w:val="Char Char Char1"/>
    <w:basedOn w:val="1"/>
    <w:qFormat/>
    <w:uiPriority w:val="0"/>
    <w:pPr>
      <w:adjustRightInd w:val="0"/>
    </w:pPr>
    <w:rPr>
      <w:szCs w:val="24"/>
    </w:rPr>
  </w:style>
  <w:style w:type="paragraph" w:customStyle="1" w:styleId="32">
    <w:name w:val="Date1"/>
    <w:basedOn w:val="1"/>
    <w:next w:val="26"/>
    <w:link w:val="33"/>
    <w:qFormat/>
    <w:uiPriority w:val="0"/>
    <w:pPr>
      <w:widowControl/>
      <w:spacing w:after="200" w:line="276" w:lineRule="auto"/>
      <w:jc w:val="center"/>
    </w:pPr>
    <w:rPr>
      <w:kern w:val="0"/>
      <w:sz w:val="24"/>
    </w:rPr>
  </w:style>
  <w:style w:type="character" w:customStyle="1" w:styleId="33">
    <w:name w:val="Date Char Char"/>
    <w:link w:val="32"/>
    <w:qFormat/>
    <w:uiPriority w:val="0"/>
    <w:rPr>
      <w:sz w:val="24"/>
    </w:rPr>
  </w:style>
  <w:style w:type="character" w:customStyle="1" w:styleId="34">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33</Pages>
  <Words>2830</Words>
  <Characters>16136</Characters>
  <Lines>134</Lines>
  <Paragraphs>37</Paragraphs>
  <TotalTime>0</TotalTime>
  <ScaleCrop>false</ScaleCrop>
  <LinksUpToDate>false</LinksUpToDate>
  <CharactersWithSpaces>18929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liyangc</cp:lastModifiedBy>
  <cp:lastPrinted>2024-04-10T01:54:00Z</cp:lastPrinted>
  <dcterms:modified xsi:type="dcterms:W3CDTF">2026-06-18T07:46:37Z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50CB9E75CE3643DA82F25B725BF21FF8</vt:lpwstr>
  </property>
</Properties>
</file>