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ind w:firstLine="643" w:firstLineChars="200"/>
        <w:rPr>
          <w:rFonts w:hint="default"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附件1：</w:t>
      </w:r>
    </w:p>
    <w:p>
      <w:pPr>
        <w:pStyle w:val="2"/>
        <w:jc w:val="center"/>
        <w:rPr>
          <w:rFonts w:hint="eastAsia" w:ascii="文星标宋" w:hAnsi="文星标宋" w:eastAsia="文星标宋" w:cs="文星标宋"/>
          <w:b/>
          <w:bCs/>
          <w:color w:val="auto"/>
          <w:kern w:val="0"/>
          <w:sz w:val="44"/>
          <w:szCs w:val="44"/>
          <w:highlight w:val="none"/>
          <w:lang w:val="en-US" w:eastAsia="zh-CN"/>
        </w:rPr>
      </w:pPr>
      <w:r>
        <w:rPr>
          <w:rFonts w:hint="eastAsia" w:ascii="文星标宋" w:hAnsi="文星标宋" w:eastAsia="文星标宋" w:cs="文星标宋"/>
          <w:b/>
          <w:bCs/>
          <w:color w:val="auto"/>
          <w:kern w:val="0"/>
          <w:sz w:val="44"/>
          <w:szCs w:val="44"/>
          <w:highlight w:val="none"/>
          <w:lang w:val="en-US" w:eastAsia="zh-CN"/>
        </w:rPr>
        <w:t>风 险 提 示</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bookmarkStart w:id="0" w:name="_GoBack"/>
      <w:r>
        <w:rPr>
          <w:rFonts w:hint="eastAsia" w:ascii="仿宋_GB2312" w:hAnsi="仿宋_GB2312" w:eastAsia="仿宋_GB2312" w:cs="仿宋_GB2312"/>
          <w:color w:val="auto"/>
          <w:kern w:val="0"/>
          <w:sz w:val="28"/>
          <w:szCs w:val="28"/>
          <w:highlight w:val="none"/>
          <w:lang w:val="en-US" w:eastAsia="zh-CN"/>
        </w:rPr>
        <w:t>1、委托方以潍坊市奎文区人民法院下达的（2024）鲁0705执2948号之三执行裁定书项下资产状况为准(该资产的产权尚未过户至潍坊银行股份有限公司名下）委托处置，对资产的瑕疵(灭失等）不承担相应的法律责任；</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标的物的清场及产权转移：（1）委托方不负责处置标的物的清场交接，需要竞买人自行清场,费用自理(包括但不限于资产清场、我行持有抵债资产期间可能产生的水电费、物业费及由此产生的纠纷、法律后果及其他与资产相关的全部纠纷等均由竞得人方自行解决)。（2）委托方不负责办理处置标的物的产权过户手续（在法定期限内可协助提供委托方相关证明材料）；（3）对处置标的物能否办理产权转移至竞得人名下不做任何承诺，由竞买人在竞买前自行到相关部门咨询确认；处置标的物如有产权证书的以过户至竞得人名下登记机关颁发的证书记载数据为准；标的无产权证书的以法院裁定书载明的资产为准，如有灭失的委托人不承担相应的法律责任。处置标的物如有涉及违法、违章部分，由竞买人自行接受行政主管部门依照有关行政法规的处理。</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处置标的物的相关税费：由潍坊银行股份有限公司名下产权转移过户至竞买人名下所产生的税款按规定各自缴纳，具体税款由竞买人在竞买前自行到税务部门咨询确认，关联的部分资产所产生的相关费用全部由竞买人自行承担。目前，该资产因潍坊和联高科专用车装备有限公司税费问题，尚未过户。</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特别提示：（1)竞买人应充分了解该拍卖标的的实际状况并亲临标的物现场实地看样，未了解该拍卖标的及自行调查的竞买人视为对拍卖标的的确认，慎重决定竞买行为，竞买人一旦作出竞买决定，即表明已完全了解，并接受标的物的一切已知及未知的瑕疵；（2）竞买人须承诺：竞买人如因标的的瑕疵引起与潍坊银行的诉讼纠纷，竞买人自愿放弃一切抗辩权；竞买人自行承担拍卖标的无法过户的风险 。</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 xml:space="preserve">5、被委托方发布的处置公告应明确告知竞买人以上内容，因与被委托方发布内容不一致而导致的纠纷，被委托方承担相应法律责任。 </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0"/>
          <w:szCs w:val="22"/>
          <w:lang w:val="en-US" w:eastAsia="zh-CN"/>
        </w:rPr>
      </w:pP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92835"/>
    <w:rsid w:val="146C6F9B"/>
    <w:rsid w:val="188859F4"/>
    <w:rsid w:val="1A3A19F6"/>
    <w:rsid w:val="36C92835"/>
    <w:rsid w:val="455509A6"/>
    <w:rsid w:val="78791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2025-11-14T07:04:00Z</dcterms:created>
  <dc:creator>匿名用户</dc:creator>
  <cp:lastModifiedBy>李晓晖</cp:lastModifiedBy>
  <cp:lastPrinted>2025-11-25T02:49:43Z</cp:lastPrinted>
  <dcterms:modified xsi:type="dcterms:W3CDTF">2025-11-25T02:49:45Z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DB65CBC2212B4CC3BA353C9133233E55</vt:lpwstr>
  </property>
</Properties>
</file>