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齐鲁银行5户债权资产包</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w:t>
      </w:r>
      <w:bookmarkStart w:id="0" w:name="_GoBack"/>
      <w:bookmarkEnd w:id="0"/>
      <w:r>
        <w:rPr>
          <w:rFonts w:hint="eastAsia" w:ascii="宋体" w:hAnsi="宋体" w:eastAsia="宋体" w:cs="Times New Roman"/>
          <w:szCs w:val="21"/>
        </w:rPr>
        <w:t>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w:t>
      </w:r>
      <w:r>
        <w:rPr>
          <w:rFonts w:hint="eastAsia" w:ascii="宋体" w:hAnsi="宋体" w:eastAsia="宋体" w:cs="Times New Roman"/>
          <w:b/>
          <w:szCs w:val="21"/>
          <w:lang w:val="en-US" w:eastAsia="zh-CN"/>
        </w:rPr>
        <w:t>由转让方承担</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2665ED"/>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1A04F9"/>
    <w:rsid w:val="3E3437B7"/>
    <w:rsid w:val="3E6566F9"/>
    <w:rsid w:val="40E92B8C"/>
    <w:rsid w:val="41296F7D"/>
    <w:rsid w:val="41D65921"/>
    <w:rsid w:val="43111DA1"/>
    <w:rsid w:val="437159C8"/>
    <w:rsid w:val="44CD7D2F"/>
    <w:rsid w:val="450E5498"/>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66D0DE6"/>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4121</Words>
  <Characters>4172</Characters>
  <Lines>38</Lines>
  <Paragraphs>10</Paragraphs>
  <TotalTime>0</TotalTime>
  <ScaleCrop>false</ScaleCrop>
  <LinksUpToDate>false</LinksUpToDate>
  <CharactersWithSpaces>4436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2026-07-03T06:05:04Z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