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overflowPunct w:val="0"/>
        <w:spacing w:line="600" w:lineRule="exact"/>
        <w:ind w:firstLine="720"/>
        <w:rPr>
          <w:rFonts w:hint="eastAsia" w:cs="Times New Roman"/>
          <w:sz w:val="32"/>
          <w:szCs w:val="21"/>
          <w:highlight w:val="none"/>
        </w:rPr>
      </w:pPr>
      <w:bookmarkStart w:id="0" w:name="_Toc18248"/>
      <w:bookmarkStart w:id="1" w:name="_Toc10525"/>
      <w:bookmarkStart w:id="2" w:name="_Toc26219"/>
      <w:bookmarkStart w:id="3" w:name="_Toc25553"/>
      <w:bookmarkStart w:id="4" w:name="_Toc32705"/>
      <w:bookmarkStart w:id="5" w:name="_Toc21100"/>
      <w:bookmarkStart w:id="6" w:name="_Toc32669"/>
      <w:bookmarkStart w:id="7" w:name="_Toc6341"/>
      <w:bookmarkStart w:id="8" w:name="_Toc30980"/>
      <w:bookmarkStart w:id="9" w:name="_Toc24844"/>
      <w:bookmarkStart w:id="10" w:name="_Toc18077"/>
      <w:bookmarkStart w:id="11" w:name="_Toc28842"/>
      <w:bookmarkStart w:id="12" w:name="_Toc17607"/>
      <w:bookmarkStart w:id="13" w:name="_Toc3864"/>
      <w:bookmarkStart w:id="14" w:name="_Toc11785"/>
      <w:bookmarkStart w:id="15" w:name="_Toc21274"/>
      <w:bookmarkStart w:id="16" w:name="_Toc27682"/>
      <w:bookmarkStart w:id="17" w:name="_Toc727"/>
      <w:bookmarkStart w:id="18" w:name="_Toc18156"/>
      <w:bookmarkStart w:id="19" w:name="_Toc22973"/>
      <w:bookmarkStart w:id="20" w:name="_Toc28618"/>
      <w:bookmarkStart w:id="21" w:name="_Toc16587"/>
      <w:bookmarkStart w:id="22" w:name="_Toc3724"/>
      <w:bookmarkStart w:id="23" w:name="_Toc2154"/>
      <w:bookmarkStart w:id="24" w:name="_Toc28043"/>
      <w:bookmarkStart w:id="25" w:name="_Toc13862"/>
      <w:bookmarkStart w:id="26" w:name="_Toc9570"/>
      <w:r>
        <w:rPr>
          <w:rFonts w:hint="eastAsia" w:cs="Times New Roman"/>
          <w:sz w:val="32"/>
          <w:szCs w:val="21"/>
          <w:highlight w:val="none"/>
        </w:rPr>
        <w:t>（一）</w:t>
      </w:r>
      <w:r>
        <w:rPr>
          <w:rFonts w:hint="eastAsia" w:cs="Times New Roman"/>
          <w:sz w:val="32"/>
          <w:szCs w:val="21"/>
          <w:highlight w:val="none"/>
          <w:lang w:val="en-US" w:eastAsia="zh-CN"/>
        </w:rPr>
        <w:t>基本</w:t>
      </w:r>
      <w:r>
        <w:rPr>
          <w:rFonts w:hint="eastAsia" w:cs="Times New Roman"/>
          <w:sz w:val="32"/>
          <w:szCs w:val="21"/>
          <w:highlight w:val="none"/>
        </w:rPr>
        <w:t>情况</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p>
    <w:p>
      <w:pPr>
        <w:pStyle w:val="4"/>
        <w:keepNext w:val="0"/>
        <w:keepLines w:val="0"/>
        <w:pageBreakBefore w:val="0"/>
        <w:widowControl w:val="0"/>
        <w:kinsoku/>
        <w:wordWrap/>
        <w:overflowPunct/>
        <w:topLinePunct w:val="0"/>
        <w:autoSpaceDE/>
        <w:autoSpaceDN/>
        <w:bidi w:val="0"/>
        <w:adjustRightInd w:val="0"/>
        <w:snapToGrid w:val="0"/>
        <w:spacing w:line="640" w:lineRule="exact"/>
        <w:ind w:left="0" w:leftChars="0" w:right="0" w:rightChars="0" w:firstLine="640" w:firstLineChars="200"/>
        <w:jc w:val="both"/>
        <w:textAlignment w:val="auto"/>
        <w:outlineLvl w:val="9"/>
        <w:rPr>
          <w:rFonts w:hint="eastAsia" w:ascii="仿宋_GB2312" w:eastAsia="仿宋_GB2312"/>
          <w:b w:val="0"/>
          <w:bCs/>
          <w:sz w:val="32"/>
          <w:szCs w:val="32"/>
          <w:highlight w:val="none"/>
          <w:lang w:val="en-US" w:eastAsia="zh-CN"/>
        </w:rPr>
      </w:pPr>
      <w:r>
        <w:rPr>
          <w:rFonts w:hint="eastAsia" w:cs="Times New Roman"/>
          <w:sz w:val="32"/>
          <w:szCs w:val="21"/>
          <w:highlight w:val="none"/>
          <w:lang w:val="en-US" w:eastAsia="zh-CN"/>
        </w:rPr>
        <w:t>本次拟处置的不良债权共1户，</w:t>
      </w:r>
      <w:r>
        <w:rPr>
          <w:rFonts w:hint="eastAsia" w:ascii="仿宋_GB2312" w:eastAsia="仿宋_GB2312"/>
          <w:b w:val="0"/>
          <w:bCs/>
          <w:sz w:val="32"/>
          <w:szCs w:val="32"/>
        </w:rPr>
        <w:t>截</w:t>
      </w:r>
      <w:r>
        <w:rPr>
          <w:rFonts w:hint="eastAsia" w:ascii="仿宋_GB2312" w:eastAsia="仿宋_GB2312"/>
          <w:b w:val="0"/>
          <w:bCs/>
          <w:sz w:val="32"/>
          <w:szCs w:val="32"/>
          <w:lang w:val="en-US" w:eastAsia="zh-CN"/>
        </w:rPr>
        <w:t>至本次转让基准日2025年</w:t>
      </w:r>
      <w:r>
        <w:rPr>
          <w:rFonts w:hint="eastAsia"/>
          <w:b w:val="0"/>
          <w:bCs/>
          <w:sz w:val="32"/>
          <w:szCs w:val="32"/>
          <w:lang w:val="en-US" w:eastAsia="zh-CN"/>
        </w:rPr>
        <w:t>8</w:t>
      </w:r>
      <w:r>
        <w:rPr>
          <w:rFonts w:hint="eastAsia" w:ascii="仿宋_GB2312" w:eastAsia="仿宋_GB2312"/>
          <w:b w:val="0"/>
          <w:bCs/>
          <w:sz w:val="32"/>
          <w:szCs w:val="32"/>
          <w:lang w:val="en-US" w:eastAsia="zh-CN"/>
        </w:rPr>
        <w:t>月30日</w:t>
      </w:r>
      <w:r>
        <w:rPr>
          <w:rFonts w:hint="eastAsia" w:ascii="仿宋_GB2312" w:eastAsia="仿宋_GB2312"/>
          <w:b w:val="0"/>
          <w:bCs/>
          <w:sz w:val="32"/>
          <w:szCs w:val="32"/>
          <w:highlight w:val="none"/>
        </w:rPr>
        <w:t>，</w:t>
      </w:r>
      <w:r>
        <w:rPr>
          <w:rFonts w:hint="eastAsia" w:ascii="仿宋_GB2312" w:eastAsia="仿宋_GB2312"/>
          <w:b w:val="0"/>
          <w:bCs/>
          <w:sz w:val="32"/>
          <w:szCs w:val="32"/>
          <w:highlight w:val="none"/>
          <w:lang w:val="en-US" w:eastAsia="zh-CN"/>
        </w:rPr>
        <w:t>债权合计4,873.76万元，其中债权本金3,000.00万元，利息（</w:t>
      </w:r>
      <w:bookmarkStart w:id="27" w:name="_GoBack"/>
      <w:bookmarkEnd w:id="27"/>
      <w:r>
        <w:rPr>
          <w:rFonts w:hint="eastAsia" w:ascii="仿宋_GB2312" w:eastAsia="仿宋_GB2312"/>
          <w:b w:val="0"/>
          <w:bCs/>
          <w:sz w:val="32"/>
          <w:szCs w:val="32"/>
          <w:highlight w:val="none"/>
          <w:lang w:val="en-US" w:eastAsia="zh-CN"/>
        </w:rPr>
        <w:t>含孳息）1,873.76万元（本项目孳息为估算值，应予偿还的准确利息、孳息及罚息等金额按照借款合同、担保合同及中国人民银行有关规定计算）。</w:t>
      </w:r>
    </w:p>
    <w:tbl>
      <w:tblPr>
        <w:tblStyle w:val="5"/>
        <w:tblW w:w="5086" w:type="pct"/>
        <w:jc w:val="center"/>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autofit"/>
        <w:tblCellMar>
          <w:top w:w="0" w:type="dxa"/>
          <w:left w:w="108" w:type="dxa"/>
          <w:bottom w:w="0" w:type="dxa"/>
          <w:right w:w="108" w:type="dxa"/>
        </w:tblCellMar>
      </w:tblPr>
      <w:tblGrid>
        <w:gridCol w:w="443"/>
        <w:gridCol w:w="1631"/>
        <w:gridCol w:w="738"/>
        <w:gridCol w:w="1581"/>
        <w:gridCol w:w="1581"/>
        <w:gridCol w:w="1624"/>
        <w:gridCol w:w="1071"/>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512" w:hRule="atLeast"/>
          <w:jc w:val="center"/>
        </w:trPr>
        <w:tc>
          <w:tcPr>
            <w:tcW w:w="5000" w:type="pct"/>
            <w:gridSpan w:val="7"/>
            <w:tcBorders>
              <w:bottom w:val="single" w:color="auto" w:sz="4" w:space="0"/>
            </w:tcBorders>
            <w:noWrap w:val="0"/>
            <w:vAlign w:val="center"/>
          </w:tcPr>
          <w:p>
            <w:pPr>
              <w:widowControl/>
              <w:spacing w:line="240" w:lineRule="auto"/>
              <w:ind w:firstLine="0" w:firstLineChars="0"/>
              <w:rPr>
                <w:rFonts w:hint="eastAsia" w:ascii="宋体" w:hAnsi="宋体" w:eastAsia="宋体" w:cs="宋体"/>
                <w:kern w:val="0"/>
                <w:sz w:val="21"/>
                <w:szCs w:val="21"/>
                <w:highlight w:val="none"/>
              </w:rPr>
            </w:pPr>
            <w:r>
              <w:rPr>
                <w:rFonts w:hint="eastAsia" w:ascii="宋体" w:hAnsi="宋体" w:eastAsia="Times New Roman" w:cs="宋体"/>
                <w:kern w:val="0"/>
                <w:sz w:val="21"/>
                <w:szCs w:val="21"/>
                <w:highlight w:val="none"/>
              </w:rPr>
              <w:t>基准日：</w:t>
            </w:r>
            <w:r>
              <w:rPr>
                <w:rFonts w:hint="eastAsia" w:ascii="宋体" w:hAnsi="宋体" w:eastAsia="宋体" w:cs="宋体"/>
                <w:kern w:val="0"/>
                <w:sz w:val="21"/>
                <w:szCs w:val="21"/>
                <w:highlight w:val="none"/>
                <w:lang w:val="en-US" w:eastAsia="zh-CN"/>
              </w:rPr>
              <w:t>2025年8月30日</w:t>
            </w:r>
            <w:r>
              <w:rPr>
                <w:rFonts w:hint="eastAsia" w:ascii="宋体" w:hAnsi="宋体" w:eastAsia="宋体" w:cs="宋体"/>
                <w:kern w:val="0"/>
                <w:sz w:val="21"/>
                <w:szCs w:val="21"/>
                <w:highlight w:val="none"/>
              </w:rPr>
              <w:t xml:space="preserve">  </w:t>
            </w:r>
            <w:r>
              <w:rPr>
                <w:rFonts w:hint="eastAsia" w:ascii="宋体" w:hAnsi="宋体" w:eastAsia="Times New Roman" w:cs="宋体"/>
                <w:kern w:val="0"/>
                <w:sz w:val="21"/>
                <w:szCs w:val="21"/>
                <w:highlight w:val="none"/>
              </w:rPr>
              <w:t xml:space="preserve">                           </w:t>
            </w:r>
            <w:r>
              <w:rPr>
                <w:rFonts w:hint="eastAsia" w:ascii="宋体" w:hAnsi="宋体" w:eastAsia="宋体" w:cs="宋体"/>
                <w:kern w:val="0"/>
                <w:sz w:val="21"/>
                <w:szCs w:val="21"/>
                <w:highlight w:val="none"/>
                <w:lang w:val="en-US" w:eastAsia="zh-CN"/>
              </w:rPr>
              <w:t xml:space="preserve">           </w:t>
            </w:r>
            <w:r>
              <w:rPr>
                <w:rFonts w:hint="eastAsia" w:ascii="宋体" w:hAnsi="宋体" w:eastAsia="Times New Roman" w:cs="宋体"/>
                <w:kern w:val="0"/>
                <w:sz w:val="21"/>
                <w:szCs w:val="21"/>
                <w:highlight w:val="none"/>
              </w:rPr>
              <w:t xml:space="preserve">货币单位：人民币 </w:t>
            </w:r>
            <w:r>
              <w:rPr>
                <w:rFonts w:hint="eastAsia" w:ascii="宋体" w:hAnsi="宋体" w:eastAsia="Times New Roman" w:cs="宋体"/>
                <w:kern w:val="0"/>
                <w:sz w:val="21"/>
                <w:szCs w:val="21"/>
                <w:highlight w:val="none"/>
                <w:lang w:val="en-US" w:eastAsia="zh-CN"/>
              </w:rPr>
              <w:t xml:space="preserve"> </w:t>
            </w:r>
            <w:r>
              <w:rPr>
                <w:rFonts w:hint="eastAsia" w:ascii="宋体" w:hAnsi="宋体" w:eastAsia="Times New Roman" w:cs="宋体"/>
                <w:kern w:val="0"/>
                <w:sz w:val="21"/>
                <w:szCs w:val="21"/>
                <w:highlight w:val="none"/>
              </w:rPr>
              <w:t>元</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855" w:hRule="atLeast"/>
          <w:jc w:val="center"/>
        </w:trPr>
        <w:tc>
          <w:tcPr>
            <w:tcW w:w="256" w:type="pct"/>
            <w:tcBorders>
              <w:top w:val="nil"/>
              <w:bottom w:val="single" w:color="auto" w:sz="4" w:space="0"/>
              <w:right w:val="single" w:color="auto" w:sz="4" w:space="0"/>
            </w:tcBorders>
            <w:noWrap w:val="0"/>
            <w:vAlign w:val="center"/>
          </w:tcPr>
          <w:p>
            <w:pPr>
              <w:widowControl/>
              <w:spacing w:line="240" w:lineRule="auto"/>
              <w:ind w:firstLine="0" w:firstLineChars="0"/>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序号</w:t>
            </w:r>
          </w:p>
        </w:tc>
        <w:tc>
          <w:tcPr>
            <w:tcW w:w="941" w:type="pct"/>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债务人名称</w:t>
            </w:r>
          </w:p>
        </w:tc>
        <w:tc>
          <w:tcPr>
            <w:tcW w:w="426" w:type="pct"/>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eastAsia" w:ascii="宋体" w:hAnsi="宋体" w:eastAsia="宋体" w:cs="宋体"/>
                <w:kern w:val="0"/>
                <w:sz w:val="21"/>
                <w:szCs w:val="21"/>
                <w:highlight w:val="none"/>
                <w:lang w:eastAsia="zh-CN"/>
              </w:rPr>
            </w:pPr>
            <w:r>
              <w:rPr>
                <w:rFonts w:hint="eastAsia" w:ascii="宋体" w:hAnsi="宋体" w:eastAsia="宋体" w:cs="宋体"/>
                <w:kern w:val="0"/>
                <w:sz w:val="21"/>
                <w:szCs w:val="21"/>
                <w:highlight w:val="none"/>
                <w:lang w:eastAsia="zh-CN"/>
              </w:rPr>
              <w:t>地区</w:t>
            </w:r>
          </w:p>
        </w:tc>
        <w:tc>
          <w:tcPr>
            <w:tcW w:w="911" w:type="pct"/>
            <w:tcBorders>
              <w:top w:val="nil"/>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本金</w:t>
            </w:r>
          </w:p>
        </w:tc>
        <w:tc>
          <w:tcPr>
            <w:tcW w:w="911" w:type="pct"/>
            <w:tcBorders>
              <w:top w:val="nil"/>
              <w:left w:val="nil"/>
              <w:bottom w:val="single" w:color="auto" w:sz="4" w:space="0"/>
              <w:right w:val="single" w:color="auto" w:sz="4" w:space="0"/>
            </w:tcBorders>
            <w:noWrap w:val="0"/>
            <w:vAlign w:val="center"/>
          </w:tcPr>
          <w:p>
            <w:pPr>
              <w:widowControl/>
              <w:spacing w:line="240" w:lineRule="auto"/>
              <w:ind w:firstLine="0" w:firstLineChars="0"/>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利息</w:t>
            </w:r>
          </w:p>
        </w:tc>
        <w:tc>
          <w:tcPr>
            <w:tcW w:w="937" w:type="pct"/>
            <w:tcBorders>
              <w:top w:val="nil"/>
              <w:left w:val="nil"/>
              <w:bottom w:val="single" w:color="auto" w:sz="4" w:space="0"/>
              <w:right w:val="single" w:color="auto" w:sz="4" w:space="0"/>
            </w:tcBorders>
            <w:noWrap w:val="0"/>
            <w:vAlign w:val="center"/>
          </w:tcPr>
          <w:p>
            <w:pPr>
              <w:widowControl/>
              <w:spacing w:line="240" w:lineRule="auto"/>
              <w:ind w:firstLine="0" w:firstLineChars="0"/>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担保人</w:t>
            </w:r>
          </w:p>
        </w:tc>
        <w:tc>
          <w:tcPr>
            <w:tcW w:w="614" w:type="pct"/>
            <w:tcBorders>
              <w:top w:val="nil"/>
              <w:left w:val="nil"/>
              <w:bottom w:val="single" w:color="auto" w:sz="4" w:space="0"/>
            </w:tcBorders>
            <w:noWrap w:val="0"/>
            <w:vAlign w:val="center"/>
          </w:tcPr>
          <w:p>
            <w:pPr>
              <w:widowControl/>
              <w:spacing w:line="240" w:lineRule="auto"/>
              <w:ind w:firstLine="0" w:firstLineChars="0"/>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担保物</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639" w:hRule="atLeast"/>
          <w:jc w:val="center"/>
        </w:trPr>
        <w:tc>
          <w:tcPr>
            <w:tcW w:w="256" w:type="pct"/>
            <w:tcBorders>
              <w:top w:val="nil"/>
              <w:bottom w:val="single" w:color="auto" w:sz="4" w:space="0"/>
              <w:right w:val="single" w:color="auto" w:sz="4" w:space="0"/>
            </w:tcBorders>
            <w:noWrap w:val="0"/>
            <w:vAlign w:val="center"/>
          </w:tcPr>
          <w:p>
            <w:pPr>
              <w:widowControl/>
              <w:spacing w:line="240" w:lineRule="auto"/>
              <w:ind w:firstLine="0" w:firstLineChars="0"/>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1</w:t>
            </w:r>
          </w:p>
        </w:tc>
        <w:tc>
          <w:tcPr>
            <w:tcW w:w="941" w:type="pct"/>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ind w:firstLine="0" w:firstLineChars="0"/>
              <w:jc w:val="center"/>
              <w:rPr>
                <w:rFonts w:hint="default"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德润化工有限公司</w:t>
            </w:r>
          </w:p>
        </w:tc>
        <w:tc>
          <w:tcPr>
            <w:tcW w:w="426" w:type="pct"/>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ind w:firstLine="0" w:firstLineChars="0"/>
              <w:jc w:val="center"/>
              <w:rPr>
                <w:rFonts w:hint="default"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菏泽</w:t>
            </w:r>
          </w:p>
        </w:tc>
        <w:tc>
          <w:tcPr>
            <w:tcW w:w="911" w:type="pct"/>
            <w:tcBorders>
              <w:top w:val="nil"/>
              <w:left w:val="single" w:color="auto" w:sz="4" w:space="0"/>
              <w:bottom w:val="single" w:color="auto" w:sz="4" w:space="0"/>
              <w:right w:val="single" w:color="auto" w:sz="4" w:space="0"/>
            </w:tcBorders>
            <w:noWrap w:val="0"/>
            <w:vAlign w:val="center"/>
          </w:tcPr>
          <w:p>
            <w:pPr>
              <w:widowControl/>
              <w:spacing w:line="240" w:lineRule="auto"/>
              <w:ind w:firstLine="0" w:firstLineChars="0"/>
              <w:jc w:val="left"/>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30,000,000.00</w:t>
            </w:r>
          </w:p>
        </w:tc>
        <w:tc>
          <w:tcPr>
            <w:tcW w:w="911" w:type="pct"/>
            <w:tcBorders>
              <w:top w:val="nil"/>
              <w:left w:val="nil"/>
              <w:bottom w:val="single" w:color="auto" w:sz="4" w:space="0"/>
              <w:right w:val="single" w:color="auto" w:sz="4" w:space="0"/>
            </w:tcBorders>
            <w:noWrap w:val="0"/>
            <w:vAlign w:val="center"/>
          </w:tcPr>
          <w:p>
            <w:pPr>
              <w:widowControl/>
              <w:spacing w:line="240" w:lineRule="auto"/>
              <w:ind w:firstLine="0" w:firstLineChars="0"/>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18,737,635.89</w:t>
            </w:r>
          </w:p>
        </w:tc>
        <w:tc>
          <w:tcPr>
            <w:tcW w:w="937" w:type="pct"/>
            <w:tcBorders>
              <w:top w:val="nil"/>
              <w:left w:val="nil"/>
              <w:bottom w:val="single" w:color="auto" w:sz="4" w:space="0"/>
              <w:right w:val="single" w:color="auto" w:sz="4" w:space="0"/>
            </w:tcBorders>
            <w:noWrap w:val="0"/>
            <w:vAlign w:val="center"/>
          </w:tcPr>
          <w:p>
            <w:pPr>
              <w:widowControl/>
              <w:spacing w:line="240" w:lineRule="auto"/>
              <w:ind w:firstLine="0" w:firstLineChars="0"/>
              <w:jc w:val="center"/>
              <w:rPr>
                <w:rFonts w:hint="eastAsia" w:ascii="宋体" w:hAnsi="宋体" w:eastAsia="宋体" w:cs="宋体"/>
                <w:kern w:val="0"/>
                <w:sz w:val="21"/>
                <w:szCs w:val="21"/>
                <w:highlight w:val="none"/>
                <w:lang w:eastAsia="zh-CN"/>
              </w:rPr>
            </w:pPr>
            <w:r>
              <w:rPr>
                <w:rFonts w:hint="eastAsia" w:ascii="宋体" w:hAnsi="宋体" w:eastAsia="宋体" w:cs="宋体"/>
                <w:kern w:val="0"/>
                <w:sz w:val="21"/>
                <w:szCs w:val="21"/>
                <w:highlight w:val="none"/>
              </w:rPr>
              <w:t>菏泽开发区市政投资开发有限公司、刘保宏、刘凤霞</w:t>
            </w:r>
          </w:p>
        </w:tc>
        <w:tc>
          <w:tcPr>
            <w:tcW w:w="614" w:type="pct"/>
            <w:tcBorders>
              <w:top w:val="nil"/>
              <w:left w:val="nil"/>
              <w:bottom w:val="single" w:color="auto" w:sz="4" w:space="0"/>
            </w:tcBorders>
            <w:noWrap w:val="0"/>
            <w:vAlign w:val="center"/>
          </w:tcPr>
          <w:p>
            <w:pPr>
              <w:widowControl/>
              <w:spacing w:line="240" w:lineRule="auto"/>
              <w:ind w:firstLine="0" w:firstLineChars="0"/>
              <w:jc w:val="center"/>
              <w:rPr>
                <w:rFonts w:hint="default"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w:t>
            </w:r>
          </w:p>
        </w:tc>
      </w:tr>
    </w:tbl>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标的债权及其从权利可能存在的瑕疵或重大缺陷包括但不限于下列一项或多项：</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（1）与标的债权相关的借款人或担保人或其他责任主体可能存在破产、被解散、被撤销、被注销、被吊销、歇业、被关闭、下落不明以及其他主体存续瑕疵的情形；</w:t>
      </w:r>
    </w:p>
    <w:p>
      <w:pPr>
        <w:tabs>
          <w:tab w:val="left" w:pos="666"/>
        </w:tabs>
        <w:spacing w:line="360" w:lineRule="auto"/>
        <w:ind w:firstLine="422" w:firstLineChars="15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（2）标的债权可能存在未生效、无效或被撤销的情形；</w:t>
      </w:r>
    </w:p>
    <w:p>
      <w:pPr>
        <w:tabs>
          <w:tab w:val="left" w:pos="666"/>
        </w:tabs>
        <w:spacing w:line="360" w:lineRule="auto"/>
        <w:ind w:firstLine="422" w:firstLineChars="15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（3）标的债权可能已超过诉讼时效或丧失相关的法定期间或因其他原因已部分消灭或成为自然债；</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（4）标的债权附属的担保协议虚假、不能依法成立或者生效、无效或被撤销，担保人不承担全部担保责任或只承担部分担保责任；</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（5）标的债权附属的保证协议约定主债权不可转让或只对特定债权人承担保证责任；</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（6）标的债权的保证担保在保证协议约定或法律规定的保证期间内因没有向债务人或保证人主张权利，而造成保证人不再承担保证责任或免责；</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（7）标的债权的保证已过诉讼时效；</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（8）标的债权的担保物权在主债权诉讼时效完成后未予行使；</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（9）标的债权的担保物权因担保物灭失而消灭，且没有代位物或其他物上代位权可行使；</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（10）标的债权的抵押物实际不存在，抵押物重复抵押，抵押协议实际未生效，抵押担保应办理抵押登记而未办理；或因动产抵押协议未办理登记而抵押物已为第三人善意取得；</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（11）标的债权及其附属的最高额抵押，可能因最高额抵押的决算期未届满而发生一次或数次转让，从而可能造成抵押权甚至主债权落空的风险；</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（12）部分标的债权可能已被全部或部分减免、被抵销、被清偿；</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（13）已经进入诉讼程序的标的债权可能存在因超过法定上诉期限、申请执行期限而无法获得法律保护；</w:t>
      </w:r>
    </w:p>
    <w:p>
      <w:pPr>
        <w:spacing w:line="560" w:lineRule="exact"/>
        <w:ind w:firstLine="562" w:firstLineChars="200"/>
        <w:rPr>
          <w:rFonts w:hint="eastAsia" w:asciiTheme="minorEastAsia" w:hAnsiTheme="minorEastAsia" w:eastAsiaTheme="minorEastAsia"/>
          <w:b/>
          <w:bCs/>
          <w:color w:val="000000" w:themeColor="text1"/>
          <w:sz w:val="28"/>
          <w:szCs w:val="28"/>
          <w:lang w:eastAsia="zh-CN"/>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14）全部或部分债权经法院或仲裁机构裁判未获得其支持而败诉或部分败诉、法院已裁定终结执行等诉讼风险；受让标的后对债权中的利息、罚息等诉求经法院或仲裁机构裁判未获得其支持而败诉或部分败诉、法院已裁定终结执行等诉讼风险</w:t>
      </w:r>
      <w:r>
        <w:rPr>
          <w:rFonts w:hint="eastAsia" w:asciiTheme="minorEastAsia" w:hAnsiTheme="minorEastAsia" w:eastAsiaTheme="minorEastAsia"/>
          <w:b/>
          <w:bCs/>
          <w:color w:val="000000" w:themeColor="text1"/>
          <w:sz w:val="28"/>
          <w:szCs w:val="28"/>
          <w:lang w:eastAsia="zh-CN"/>
          <w14:textFill>
            <w14:solidFill>
              <w14:schemeClr w14:val="tx1"/>
            </w14:solidFill>
          </w14:textFill>
        </w:rPr>
        <w:t>；</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（15）已经进入诉讼程序的不良资产债权，可能存在由于甲方未能在法律规定的期限内申请继续查封而导致甲方对债务人的资产失去控制；</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（16）标的债权在交易基准日后仍会发生变化</w:t>
      </w:r>
      <w:r>
        <w:rPr>
          <w:rFonts w:hint="eastAsia" w:asciiTheme="minorEastAsia" w:hAnsiTheme="minorEastAsia" w:eastAsiaTheme="minorEastAsia"/>
          <w:b/>
          <w:bCs/>
          <w:color w:val="000000" w:themeColor="text1"/>
          <w:sz w:val="28"/>
          <w:szCs w:val="28"/>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14:textFill>
            <w14:solidFill>
              <w14:schemeClr w14:val="tx1"/>
            </w14:solidFill>
          </w14:textFill>
        </w:rPr>
        <w:t>乙方知悉并确认基准日前破产管理人分配受偿价款</w:t>
      </w:r>
      <w:r>
        <w:rPr>
          <w:rFonts w:hint="eastAsia" w:asciiTheme="minorEastAsia" w:hAnsiTheme="minorEastAsia" w:eastAsiaTheme="minorEastAsia"/>
          <w:b/>
          <w:bCs/>
          <w:color w:val="000000" w:themeColor="text1"/>
          <w:sz w:val="28"/>
          <w:szCs w:val="28"/>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如有</w:t>
      </w:r>
      <w:r>
        <w:rPr>
          <w:rFonts w:hint="eastAsia" w:asciiTheme="minorEastAsia" w:hAnsiTheme="minorEastAsia" w:eastAsiaTheme="minorEastAsia"/>
          <w:b/>
          <w:bCs/>
          <w:color w:val="000000" w:themeColor="text1"/>
          <w:sz w:val="28"/>
          <w:szCs w:val="28"/>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14:textFill>
            <w14:solidFill>
              <w14:schemeClr w14:val="tx1"/>
            </w14:solidFill>
          </w14:textFill>
        </w:rPr>
        <w:t>归甲方所有；</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（17）主从债权证明文件仅为复印件，或者主从债权证明文件存在缺失、不完整或内容冲突等相关情形</w:t>
      </w:r>
      <w:r>
        <w:rPr>
          <w:rFonts w:hint="eastAsia" w:cs="Times New Roman" w:asciiTheme="minorEastAsia" w:hAnsiTheme="minorEastAsia" w:eastAsiaTheme="minorEastAsia"/>
          <w:b/>
          <w:bCs/>
          <w:color w:val="000000" w:themeColor="text1"/>
          <w:sz w:val="28"/>
          <w:szCs w:val="28"/>
          <w:lang w:eastAsia="zh-CN"/>
          <w14:textFill>
            <w14:solidFill>
              <w14:schemeClr w14:val="tx1"/>
            </w14:solidFill>
          </w14:textFill>
        </w:rPr>
        <w:t xml:space="preserve">；随标的债权一并转让的垫付费用等可能缺少相关票据文件等而不被法院或仲裁机构支持，致使该部分债权无法实现 </w:t>
      </w:r>
      <w:r>
        <w:rPr>
          <w:rFonts w:hint="eastAsia" w:asciiTheme="minorEastAsia" w:hAnsiTheme="minorEastAsia" w:eastAsiaTheme="minorEastAsia"/>
          <w:b/>
          <w:bCs/>
          <w:color w:val="000000" w:themeColor="text1"/>
          <w:sz w:val="28"/>
          <w:szCs w:val="28"/>
          <w14:textFill>
            <w14:solidFill>
              <w14:schemeClr w14:val="tx1"/>
            </w14:solidFill>
          </w14:textFill>
        </w:rPr>
        <w:t>；</w:t>
      </w:r>
    </w:p>
    <w:p>
      <w:pPr>
        <w:spacing w:line="560" w:lineRule="exact"/>
        <w:ind w:firstLine="562" w:firstLineChars="200"/>
        <w:rPr>
          <w:rFonts w:hint="eastAsia"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（18）原债权人未就标的债权的转让通知债务人使得债权转让尚未对债务人发生法律效力；</w:t>
      </w:r>
    </w:p>
    <w:p>
      <w:pPr>
        <w:spacing w:line="560" w:lineRule="exact"/>
        <w:ind w:firstLine="562"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（19）可能存在诉讼或执行主体无法变更、利息无法得到支持以及因前手无法提供资料等原因导致无法启动或者推进司法追偿程序等瑕疵；</w:t>
      </w:r>
    </w:p>
    <w:p>
      <w:r>
        <w:rPr>
          <w:rFonts w:hint="eastAsia" w:asciiTheme="minorEastAsia" w:hAnsiTheme="minorEastAsia" w:eastAsiaTheme="minorEastAsia"/>
          <w:b/>
          <w:bCs/>
          <w:color w:val="000000" w:themeColor="text1"/>
          <w:sz w:val="28"/>
          <w:szCs w:val="28"/>
          <w14:textFill>
            <w14:solidFill>
              <w14:schemeClr w14:val="tx1"/>
            </w14:solidFill>
          </w14:textFill>
        </w:rPr>
        <w:t>（</w:t>
      </w: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20</w:t>
      </w:r>
      <w:r>
        <w:rPr>
          <w:rFonts w:hint="eastAsia" w:asciiTheme="minorEastAsia" w:hAnsiTheme="minorEastAsia" w:eastAsiaTheme="minorEastAsia"/>
          <w:b/>
          <w:bCs/>
          <w:color w:val="000000" w:themeColor="text1"/>
          <w:sz w:val="28"/>
          <w:szCs w:val="28"/>
          <w14:textFill>
            <w14:solidFill>
              <w14:schemeClr w14:val="tx1"/>
            </w14:solidFill>
          </w14:textFill>
        </w:rPr>
        <w:t>）标的债权及其从权利的其他瑕疵或重大缺陷。</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720"/>
      </w:pPr>
      <w:r>
        <w:separator/>
      </w:r>
    </w:p>
  </w:endnote>
  <w:endnote w:type="continuationSeparator" w:id="1">
    <w:p>
      <w:pPr>
        <w:spacing w:line="240" w:lineRule="auto"/>
        <w:ind w:firstLine="7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720"/>
      </w:pPr>
      <w:r>
        <w:separator/>
      </w:r>
    </w:p>
  </w:footnote>
  <w:footnote w:type="continuationSeparator" w:id="1">
    <w:p>
      <w:pPr>
        <w:spacing w:line="240" w:lineRule="auto"/>
        <w:ind w:firstLine="72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A34834"/>
    <w:rsid w:val="2CF719D7"/>
    <w:rsid w:val="7EA34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880" w:firstLineChars="200"/>
      <w:jc w:val="both"/>
    </w:pPr>
    <w:rPr>
      <w:rFonts w:ascii="仿宋_GB2312" w:hAnsi="仿宋_GB2312" w:eastAsia="仿宋_GB2312" w:cs="Times New Roman"/>
      <w:kern w:val="2"/>
      <w:sz w:val="36"/>
      <w:szCs w:val="22"/>
      <w:lang w:val="en-US" w:eastAsia="zh-CN" w:bidi="ar-SA"/>
    </w:rPr>
  </w:style>
  <w:style w:type="paragraph" w:styleId="2">
    <w:name w:val="heading 2"/>
    <w:basedOn w:val="1"/>
    <w:next w:val="1"/>
    <w:qFormat/>
    <w:uiPriority w:val="0"/>
    <w:pPr>
      <w:ind w:firstLine="643"/>
      <w:outlineLvl w:val="1"/>
    </w:pPr>
    <w:rPr>
      <w:rFonts w:eastAsia="楷体_GB2312"/>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Normal Indent"/>
    <w:basedOn w:val="1"/>
    <w:next w:val="1"/>
    <w:qFormat/>
    <w:uiPriority w:val="0"/>
    <w:pPr>
      <w:snapToGrid w:val="0"/>
      <w:spacing w:line="300" w:lineRule="auto"/>
      <w:ind w:firstLine="556"/>
    </w:pPr>
    <w:rPr>
      <w:rFonts w:ascii="仿宋_GB2312"/>
      <w:sz w:val="28"/>
    </w:rPr>
  </w:style>
  <w:style w:type="paragraph" w:styleId="4">
    <w:name w:val="annotation text"/>
    <w:basedOn w:val="1"/>
    <w:qFormat/>
    <w:uiPriority w:val="0"/>
    <w:pPr>
      <w:jc w:val="left"/>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2025-12-01T02:23:00Z</dcterms:created>
  <dc:creator>徐艺唯</dc:creator>
  <cp:lastModifiedBy>liubofan</cp:lastModifiedBy>
  <dcterms:modified xsi:type="dcterms:W3CDTF">2025-12-17T02:58:25Z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C40F004AC9984933AFE09573CDE71635</vt:lpwstr>
  </property>
</Properties>
</file>