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4028C">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7C78C6F9">
      <w:pPr>
        <w:adjustRightInd w:val="0"/>
        <w:snapToGrid w:val="0"/>
        <w:spacing w:line="360" w:lineRule="exact"/>
        <w:ind w:right="-199" w:rightChars="-95" w:firstLine="422" w:firstLineChars="200"/>
        <w:rPr>
          <w:rFonts w:asciiTheme="minorEastAsia" w:hAnsiTheme="minorEastAsia"/>
          <w:b/>
          <w:kern w:val="0"/>
          <w:szCs w:val="21"/>
        </w:rPr>
      </w:pPr>
    </w:p>
    <w:p w14:paraId="04A7B313">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14046EFB">
      <w:pPr>
        <w:widowControl/>
        <w:snapToGrid w:val="0"/>
        <w:spacing w:line="320" w:lineRule="exact"/>
        <w:ind w:right="-199" w:rightChars="-95"/>
        <w:jc w:val="left"/>
        <w:rPr>
          <w:rFonts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5AF93FF5">
      <w:pPr>
        <w:adjustRightInd w:val="0"/>
        <w:snapToGrid w:val="0"/>
        <w:spacing w:line="360" w:lineRule="exact"/>
        <w:ind w:right="-199" w:rightChars="-95" w:firstLine="420" w:firstLineChars="200"/>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w:t>
      </w:r>
      <w:r>
        <w:rPr>
          <w:rFonts w:hint="eastAsia" w:cs="宋体" w:asciiTheme="minorEastAsia" w:hAnsiTheme="minorEastAsia"/>
          <w:color w:val="000000" w:themeColor="text1"/>
          <w:kern w:val="0"/>
          <w:szCs w:val="21"/>
          <w:u w:val="single"/>
          <w14:textFill>
            <w14:solidFill>
              <w14:schemeClr w14:val="tx1"/>
            </w14:solidFill>
          </w14:textFill>
        </w:rPr>
        <w:t>日照市山东路南、菏泽路东永利嘉园小区2AB幢02单元106商等7套房产</w:t>
      </w:r>
      <w:r>
        <w:rPr>
          <w:rFonts w:hint="eastAsia" w:cs="宋体" w:asciiTheme="minorEastAsia" w:hAnsiTheme="minorEastAsia"/>
          <w:color w:val="000000" w:themeColor="text1"/>
          <w:kern w:val="0"/>
          <w:szCs w:val="21"/>
          <w14:textFill>
            <w14:solidFill>
              <w14:schemeClr w14:val="tx1"/>
            </w14:solidFill>
          </w14:textFill>
        </w:rPr>
        <w:t>（项目编号：JRZC260094</w:t>
      </w:r>
      <w:bookmarkStart w:id="0" w:name="_GoBack"/>
      <w:bookmarkEnd w:id="0"/>
      <w:r>
        <w:rPr>
          <w:rFonts w:hint="eastAsia" w:cs="宋体" w:asciiTheme="minorEastAsia" w:hAnsiTheme="minorEastAsia"/>
          <w:color w:val="000000" w:themeColor="text1"/>
          <w:kern w:val="0"/>
          <w:szCs w:val="21"/>
          <w:lang w:eastAsia="zh-CN"/>
          <w14:textFill>
            <w14:solidFill>
              <w14:schemeClr w14:val="tx1"/>
            </w14:solidFill>
          </w14:textFill>
        </w:rPr>
        <w:t>）项目</w:t>
      </w:r>
      <w:r>
        <w:rPr>
          <w:rFonts w:hint="eastAsia" w:cs="宋体" w:asciiTheme="minorEastAsia" w:hAnsiTheme="minorEastAsia"/>
          <w:color w:val="000000" w:themeColor="text1"/>
          <w:kern w:val="0"/>
          <w:szCs w:val="21"/>
          <w14:textFill>
            <w14:solidFill>
              <w14:schemeClr w14:val="tx1"/>
            </w14:solidFill>
          </w14:textFill>
        </w:rPr>
        <w:t>的申请，现依照诚实守信的原则，就参与本项目网络竞价（含动态报价）活动做出如下承诺：</w:t>
      </w:r>
    </w:p>
    <w:p w14:paraId="58408D9A">
      <w:pPr>
        <w:adjustRightInd w:val="0"/>
        <w:snapToGrid w:val="0"/>
        <w:spacing w:line="360" w:lineRule="exact"/>
        <w:ind w:right="-199" w:rightChars="-95" w:firstLine="420" w:firstLineChars="200"/>
        <w:rPr>
          <w:rFonts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288FF2F2">
      <w:pPr>
        <w:widowControl/>
        <w:spacing w:line="360" w:lineRule="exact"/>
        <w:ind w:right="-199" w:rightChars="-95" w:firstLine="411" w:firstLineChars="196"/>
        <w:rPr>
          <w:rFonts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4"/>
          <w:rFonts w:cs="宋体" w:asciiTheme="minorEastAsia" w:hAnsiTheme="minorEastAsia"/>
          <w:color w:val="auto"/>
          <w:kern w:val="0"/>
          <w:szCs w:val="21"/>
        </w:rPr>
        <w:t>www.sdcqjy.com</w:t>
      </w:r>
      <w:r>
        <w:rPr>
          <w:rStyle w:val="14"/>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44272E25">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5AF7447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14:paraId="5A3DD0D8">
      <w:pPr>
        <w:widowControl/>
        <w:adjustRightInd w:val="0"/>
        <w:snapToGrid w:val="0"/>
        <w:spacing w:line="360" w:lineRule="exact"/>
        <w:ind w:right="-199" w:rightChars="-95" w:firstLine="482"/>
        <w:rPr>
          <w:rFonts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14159559">
      <w:pPr>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33C2114F">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214F53CA">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6B19C5EC">
      <w:pPr>
        <w:widowControl/>
        <w:adjustRightInd w:val="0"/>
        <w:snapToGrid w:val="0"/>
        <w:spacing w:line="360" w:lineRule="exact"/>
        <w:ind w:right="-199" w:rightChars="-95" w:firstLine="480"/>
        <w:rPr>
          <w:rFonts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68EE2E5A">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3AE6EB1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none"/>
        </w:rPr>
        <w:t>本</w:t>
      </w:r>
      <w:r>
        <w:rPr>
          <w:rFonts w:hint="eastAsia" w:cs="宋体" w:asciiTheme="minorEastAsia" w:hAnsiTheme="minorEastAsia"/>
          <w:kern w:val="0"/>
          <w:szCs w:val="21"/>
        </w:rPr>
        <w:t>项目。</w:t>
      </w:r>
    </w:p>
    <w:p w14:paraId="4FA577C6">
      <w:pPr>
        <w:widowControl/>
        <w:adjustRightInd w:val="0"/>
        <w:snapToGrid w:val="0"/>
        <w:spacing w:line="380" w:lineRule="atLeast"/>
        <w:ind w:right="-199" w:rightChars="-95" w:firstLine="490"/>
        <w:jc w:val="left"/>
        <w:rPr>
          <w:rFonts w:cs="宋体" w:asciiTheme="minorEastAsia" w:hAnsiTheme="minorEastAsia"/>
          <w:kern w:val="0"/>
          <w:szCs w:val="21"/>
        </w:rPr>
      </w:pPr>
      <w:r>
        <w:rPr>
          <w:rFonts w:hint="eastAsia" w:cs="宋体" w:asciiTheme="minorEastAsia" w:hAnsiTheme="minorEastAsia"/>
          <w:kern w:val="0"/>
          <w:szCs w:val="21"/>
        </w:rPr>
        <w:t>十二、竞价规则：</w:t>
      </w:r>
    </w:p>
    <w:p w14:paraId="6DCD71EB">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262A1B74">
      <w:pPr>
        <w:adjustRightInd w:val="0"/>
        <w:snapToGrid w:val="0"/>
        <w:spacing w:line="360" w:lineRule="exact"/>
        <w:ind w:firstLine="420" w:firstLineChars="200"/>
        <w:jc w:val="left"/>
        <w:rPr>
          <w:rFonts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竞价过程中以挂牌价格为起始价格，网络竞价开始时间及加价幅度另行通知。竞价过程由多个连续报价周期组成，每个报价周期为1.5分钟（即 90秒）。在每个报价周期内，如出现新的有效报价，则进入新的报价周期；在一个报价周期内如未出现新的有效报价，则当前有效报价方成为本次交易的受让方。</w:t>
      </w:r>
    </w:p>
    <w:p w14:paraId="4634A873">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网络竞价加价规则：</w:t>
      </w:r>
    </w:p>
    <w:p w14:paraId="26723EE8">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1066AA87">
      <w:pPr>
        <w:numPr>
          <w:ilvl w:val="0"/>
          <w:numId w:val="1"/>
        </w:numPr>
        <w:adjustRightInd w:val="0"/>
        <w:snapToGrid w:val="0"/>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09753D69">
      <w:pPr>
        <w:widowControl/>
        <w:numPr>
          <w:ilvl w:val="255"/>
          <w:numId w:val="0"/>
        </w:numPr>
        <w:adjustRightInd w:val="0"/>
        <w:snapToGrid w:val="0"/>
        <w:spacing w:line="360" w:lineRule="exact"/>
        <w:ind w:right="-199" w:rightChars="-95" w:firstLine="480"/>
        <w:jc w:val="left"/>
        <w:rPr>
          <w:rFonts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如信息公告期满，只产生一个意向受让方的，产权中心组织交易双方按照竞买人报价与转让底价孰高原则直接签订《资产交易合同》。</w:t>
      </w:r>
    </w:p>
    <w:p w14:paraId="103DD72D">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20E7E5BA">
      <w:pPr>
        <w:adjustRightInd w:val="0"/>
        <w:snapToGrid w:val="0"/>
        <w:spacing w:line="360" w:lineRule="exact"/>
        <w:ind w:right="-199" w:rightChars="-95" w:firstLine="420" w:firstLineChars="200"/>
        <w:rPr>
          <w:rFonts w:ascii="宋体" w:hAnsi="宋体" w:eastAsia="宋体" w:cs="仿宋_GB2312"/>
          <w:szCs w:val="21"/>
        </w:rPr>
      </w:pPr>
      <w:r>
        <w:rPr>
          <w:rFonts w:hint="eastAsia" w:ascii="宋体" w:hAnsi="宋体" w:eastAsia="宋体" w:cs="仿宋_GB2312"/>
          <w:szCs w:val="21"/>
        </w:rPr>
        <w:t>动态报价由定时报价期和连续报价期组成。</w:t>
      </w:r>
    </w:p>
    <w:p w14:paraId="623170C9">
      <w:pPr>
        <w:widowControl/>
        <w:adjustRightInd w:val="0"/>
        <w:snapToGrid w:val="0"/>
        <w:spacing w:line="360" w:lineRule="exact"/>
        <w:ind w:right="-199" w:rightChars="-95" w:firstLine="480"/>
        <w:rPr>
          <w:rFonts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39C1973A">
      <w:pPr>
        <w:widowControl/>
        <w:adjustRightInd w:val="0"/>
        <w:snapToGrid w:val="0"/>
        <w:spacing w:line="360" w:lineRule="exact"/>
        <w:ind w:right="-199" w:rightChars="-95" w:firstLine="480"/>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1.5分钟（即90秒）。在每个连续报价周期内，如出现新的有效报价，则进入新的连续报价周期；在一个连续报价周期内如未出现新的有效报价，则当前有效报价方成为本次动态报价活动的受让方。</w:t>
      </w:r>
    </w:p>
    <w:p w14:paraId="484DFA43">
      <w:pPr>
        <w:widowControl/>
        <w:adjustRightInd w:val="0"/>
        <w:snapToGrid w:val="0"/>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动态报价加价规则：</w:t>
      </w:r>
    </w:p>
    <w:p w14:paraId="0C1F66B7">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7F82584C">
      <w:pPr>
        <w:numPr>
          <w:ilvl w:val="0"/>
          <w:numId w:val="1"/>
        </w:numPr>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1E488D30">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297DAAB4">
      <w:pPr>
        <w:widowControl/>
        <w:adjustRightInd w:val="0"/>
        <w:snapToGrid w:val="0"/>
        <w:spacing w:line="360" w:lineRule="exact"/>
        <w:ind w:right="-199" w:rightChars="-95" w:firstLine="422" w:firstLineChars="200"/>
        <w:rPr>
          <w:rFonts w:hint="eastAsia" w:cs="宋体" w:asciiTheme="minorEastAsia" w:hAnsiTheme="minorEastAsia"/>
          <w:b/>
          <w:bCs/>
          <w:kern w:val="0"/>
          <w:szCs w:val="21"/>
        </w:rPr>
      </w:pPr>
      <w:r>
        <w:rPr>
          <w:rFonts w:hint="eastAsia" w:cs="宋体" w:asciiTheme="minorEastAsia" w:hAnsiTheme="minorEastAsia"/>
          <w:b/>
          <w:bCs/>
          <w:kern w:val="0"/>
          <w:szCs w:val="21"/>
        </w:rPr>
        <w:t>受让方在收到《结果通知单》后，应当按照信息披露公告的要求与转让方签署《债权转让协议》，并于签订《债权转让协议》之日起5个工作日内支付应付交易价款至转让方指定账户</w:t>
      </w:r>
      <w:r>
        <w:rPr>
          <w:rFonts w:hint="eastAsia" w:cs="宋体" w:asciiTheme="minorEastAsia" w:hAnsiTheme="minorEastAsia"/>
          <w:b/>
          <w:bCs/>
          <w:kern w:val="0"/>
          <w:szCs w:val="21"/>
          <w:lang w:eastAsia="zh-CN"/>
        </w:rPr>
        <w:t>，</w:t>
      </w:r>
      <w:r>
        <w:rPr>
          <w:rFonts w:hint="eastAsia" w:cs="宋体" w:asciiTheme="minorEastAsia" w:hAnsiTheme="minorEastAsia"/>
          <w:b/>
          <w:bCs/>
          <w:kern w:val="0"/>
          <w:szCs w:val="21"/>
        </w:rPr>
        <w:t>交易费用缴纳到产权中心指定账户，交易费用按照成交金额千分之</w:t>
      </w:r>
      <w:r>
        <w:rPr>
          <w:rFonts w:hint="eastAsia" w:cs="宋体" w:asciiTheme="minorEastAsia" w:hAnsiTheme="minorEastAsia"/>
          <w:b/>
          <w:bCs/>
          <w:kern w:val="0"/>
          <w:szCs w:val="21"/>
          <w:lang w:eastAsia="zh-CN"/>
        </w:rPr>
        <w:t>一点五（不低于</w:t>
      </w:r>
      <w:r>
        <w:rPr>
          <w:rFonts w:hint="eastAsia" w:cs="宋体" w:asciiTheme="minorEastAsia" w:hAnsiTheme="minorEastAsia"/>
          <w:b/>
          <w:bCs/>
          <w:kern w:val="0"/>
          <w:szCs w:val="21"/>
          <w:lang w:val="en-US" w:eastAsia="zh-CN"/>
        </w:rPr>
        <w:t>2000元）</w:t>
      </w:r>
      <w:r>
        <w:rPr>
          <w:rFonts w:hint="eastAsia" w:cs="宋体" w:asciiTheme="minorEastAsia" w:hAnsiTheme="minorEastAsia"/>
          <w:b/>
          <w:bCs/>
          <w:kern w:val="0"/>
          <w:szCs w:val="21"/>
        </w:rPr>
        <w:t>标准收取。</w:t>
      </w:r>
    </w:p>
    <w:p w14:paraId="04758AA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19016EDB">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168D9977">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1F8E130D">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5903FB92">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234495BA">
      <w:pPr>
        <w:widowControl/>
        <w:adjustRightInd w:val="0"/>
        <w:snapToGrid w:val="0"/>
        <w:spacing w:line="360" w:lineRule="exact"/>
        <w:ind w:right="-199" w:rightChars="-95"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183C7055">
      <w:pPr>
        <w:widowControl/>
        <w:adjustRightInd w:val="0"/>
        <w:snapToGrid w:val="0"/>
        <w:spacing w:line="360" w:lineRule="exact"/>
        <w:ind w:right="-199" w:rightChars="-95" w:firstLine="420" w:firstLineChars="200"/>
        <w:rPr>
          <w:rFonts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6CE9781A">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4C4B24A0">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77C2645D">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6256A574">
      <w:pPr>
        <w:widowControl/>
        <w:adjustRightInd w:val="0"/>
        <w:snapToGrid w:val="0"/>
        <w:spacing w:line="360" w:lineRule="exact"/>
        <w:ind w:right="-199" w:rightChars="-95" w:firstLine="480"/>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75FCD09F">
      <w:pPr>
        <w:adjustRightInd w:val="0"/>
        <w:snapToGrid w:val="0"/>
        <w:spacing w:line="36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7222AA27">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2C2917A7">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0F1D4151">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48E1E7C7">
      <w:pPr>
        <w:widowControl/>
        <w:spacing w:line="360" w:lineRule="exact"/>
        <w:ind w:right="-199" w:rightChars="-95" w:firstLine="490"/>
        <w:rPr>
          <w:rFonts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41A8DD99">
      <w:pPr>
        <w:widowControl/>
        <w:spacing w:line="320" w:lineRule="exact"/>
        <w:ind w:right="-199" w:rightChars="-95" w:firstLine="422" w:firstLineChars="200"/>
        <w:rPr>
          <w:rFonts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《资产交易合同》并</w:t>
      </w:r>
      <w:r>
        <w:rPr>
          <w:rFonts w:hint="eastAsia" w:ascii="宋体" w:hAnsi="宋体" w:eastAsia="宋体" w:cs="宋体"/>
          <w:b/>
          <w:bCs/>
          <w:kern w:val="0"/>
          <w:szCs w:val="21"/>
        </w:rPr>
        <w:t>付清交易价款及交易费用、按要求完成项目移交的，承诺承担以下责任：</w:t>
      </w:r>
    </w:p>
    <w:p w14:paraId="7F762D7B">
      <w:pPr>
        <w:widowControl/>
        <w:spacing w:line="320" w:lineRule="exact"/>
        <w:ind w:right="-199" w:rightChars="-95" w:firstLine="422" w:firstLineChars="200"/>
        <w:rPr>
          <w:rFonts w:ascii="宋体" w:hAnsi="宋体" w:eastAsia="宋体" w:cs="宋体"/>
          <w:b/>
          <w:bCs/>
          <w:kern w:val="0"/>
          <w:szCs w:val="21"/>
        </w:rPr>
      </w:pPr>
      <w:r>
        <w:rPr>
          <w:rFonts w:hint="eastAsia" w:ascii="宋体" w:hAnsi="宋体" w:eastAsia="宋体" w:cs="宋体"/>
          <w:b/>
          <w:bCs/>
          <w:kern w:val="0"/>
          <w:szCs w:val="21"/>
        </w:rPr>
        <w:t>未能在规定时间内与转让方签订《资产交易合同》并付清全部交易价款及交易费用的，构成违约。意向受让方同意产权中心按照《山东产权交易中心交易保证金操作细则》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1DA16B1D">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215947A6">
      <w:pPr>
        <w:widowControl/>
        <w:adjustRightInd w:val="0"/>
        <w:snapToGrid w:val="0"/>
        <w:spacing w:line="360" w:lineRule="exact"/>
        <w:ind w:right="-199" w:rightChars="-95" w:firstLine="480"/>
        <w:rPr>
          <w:rFonts w:cs="宋体" w:asciiTheme="minorEastAsia" w:hAnsiTheme="minorEastAsia"/>
          <w:kern w:val="0"/>
          <w:szCs w:val="21"/>
        </w:rPr>
      </w:pPr>
    </w:p>
    <w:p w14:paraId="3B4E9FD5">
      <w:pPr>
        <w:widowControl/>
        <w:spacing w:line="320" w:lineRule="exact"/>
        <w:ind w:left="-283" w:leftChars="-135" w:right="-199" w:rightChars="-95" w:firstLine="163" w:firstLineChars="78"/>
        <w:rPr>
          <w:rFonts w:cs="宋体" w:asciiTheme="minorEastAsia" w:hAnsiTheme="minorEastAsia"/>
          <w:kern w:val="0"/>
          <w:szCs w:val="21"/>
        </w:rPr>
      </w:pPr>
      <w:r>
        <w:rPr>
          <w:rFonts w:cs="宋体" w:asciiTheme="minorEastAsia" w:hAnsiTheme="minorEastAsia"/>
          <w:kern w:val="0"/>
          <w:szCs w:val="21"/>
        </w:rPr>
        <w:t xml:space="preserve">          </w:t>
      </w:r>
    </w:p>
    <w:p w14:paraId="79926C30">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1A507D14">
      <w:pPr>
        <w:widowControl/>
        <w:spacing w:line="320" w:lineRule="exact"/>
        <w:ind w:left="-283" w:leftChars="-135" w:right="-199" w:rightChars="-95" w:firstLine="163" w:firstLineChars="78"/>
        <w:rPr>
          <w:rFonts w:asciiTheme="minorEastAsia" w:hAnsiTheme="minorEastAsia"/>
          <w:kern w:val="0"/>
          <w:szCs w:val="21"/>
        </w:rPr>
      </w:pPr>
    </w:p>
    <w:p w14:paraId="2217BB63">
      <w:pPr>
        <w:widowControl/>
        <w:spacing w:line="320" w:lineRule="exact"/>
        <w:ind w:left="-283" w:leftChars="-135" w:right="-199" w:rightChars="-95" w:firstLine="163" w:firstLineChars="78"/>
        <w:rPr>
          <w:rFonts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26671EBC">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536A0B7A">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21428BAB">
      <w:pPr>
        <w:widowControl/>
        <w:spacing w:line="320" w:lineRule="exact"/>
        <w:ind w:left="-283" w:leftChars="-135" w:right="-199" w:rightChars="-95" w:firstLine="163" w:firstLineChars="78"/>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202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2F58CA67">
      <w:pPr>
        <w:widowControl/>
        <w:snapToGrid w:val="0"/>
        <w:spacing w:line="360" w:lineRule="exact"/>
        <w:ind w:right="-199" w:rightChars="-95"/>
        <w:rPr>
          <w:rFonts w:ascii="方正小标宋简体" w:eastAsia="方正小标宋简体" w:cs="微软简标宋"/>
          <w:bCs/>
          <w:sz w:val="36"/>
          <w:szCs w:val="36"/>
        </w:rPr>
      </w:pPr>
      <w:r>
        <w:rPr>
          <w:rFonts w:cs="宋体" w:asciiTheme="minorEastAsia" w:hAnsiTheme="minorEastAsia"/>
          <w:kern w:val="0"/>
          <w:szCs w:val="21"/>
        </w:rPr>
        <w:t xml:space="preserve">                              </w:t>
      </w: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jNDUxY2M0MTMzZjM4NWE1N2Q1ZTViY2I5OTVlYzY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217936"/>
    <w:rsid w:val="0022004E"/>
    <w:rsid w:val="002327F8"/>
    <w:rsid w:val="0023583A"/>
    <w:rsid w:val="00251546"/>
    <w:rsid w:val="0028794E"/>
    <w:rsid w:val="002B4320"/>
    <w:rsid w:val="002D2337"/>
    <w:rsid w:val="003059F7"/>
    <w:rsid w:val="00305EC7"/>
    <w:rsid w:val="00370062"/>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639F7"/>
    <w:rsid w:val="006911ED"/>
    <w:rsid w:val="006C5DBC"/>
    <w:rsid w:val="006E0445"/>
    <w:rsid w:val="006E678A"/>
    <w:rsid w:val="0072322D"/>
    <w:rsid w:val="00725B8B"/>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331645E"/>
    <w:rsid w:val="061422BE"/>
    <w:rsid w:val="0A22796E"/>
    <w:rsid w:val="0B2842C7"/>
    <w:rsid w:val="0B5D39B7"/>
    <w:rsid w:val="0C2D1003"/>
    <w:rsid w:val="0C741827"/>
    <w:rsid w:val="0CB02467"/>
    <w:rsid w:val="0D471B4E"/>
    <w:rsid w:val="0E034D80"/>
    <w:rsid w:val="0E331B70"/>
    <w:rsid w:val="0E6B61E3"/>
    <w:rsid w:val="0E830123"/>
    <w:rsid w:val="0EF44F7D"/>
    <w:rsid w:val="0F35708A"/>
    <w:rsid w:val="10E74628"/>
    <w:rsid w:val="112B4874"/>
    <w:rsid w:val="11501FDA"/>
    <w:rsid w:val="13AF388A"/>
    <w:rsid w:val="13ED28B7"/>
    <w:rsid w:val="168B425A"/>
    <w:rsid w:val="16C45343"/>
    <w:rsid w:val="17013C0B"/>
    <w:rsid w:val="174A5679"/>
    <w:rsid w:val="177858BB"/>
    <w:rsid w:val="177C7DA0"/>
    <w:rsid w:val="17B44C75"/>
    <w:rsid w:val="19A42296"/>
    <w:rsid w:val="1AA52F58"/>
    <w:rsid w:val="1C967797"/>
    <w:rsid w:val="1D4E0CEB"/>
    <w:rsid w:val="1E064AD3"/>
    <w:rsid w:val="1E522229"/>
    <w:rsid w:val="1FE509E1"/>
    <w:rsid w:val="20892574"/>
    <w:rsid w:val="22777C19"/>
    <w:rsid w:val="25550BE1"/>
    <w:rsid w:val="260676D4"/>
    <w:rsid w:val="269B26B8"/>
    <w:rsid w:val="285A1A45"/>
    <w:rsid w:val="28CD0786"/>
    <w:rsid w:val="2AAB69FD"/>
    <w:rsid w:val="2B6D1B63"/>
    <w:rsid w:val="2CE34BB3"/>
    <w:rsid w:val="2F1D48C1"/>
    <w:rsid w:val="2F6B36F7"/>
    <w:rsid w:val="305A69BA"/>
    <w:rsid w:val="30D0446A"/>
    <w:rsid w:val="31387F55"/>
    <w:rsid w:val="31B51441"/>
    <w:rsid w:val="323D4B47"/>
    <w:rsid w:val="32D62C02"/>
    <w:rsid w:val="36FA2A96"/>
    <w:rsid w:val="378F55CA"/>
    <w:rsid w:val="37A34565"/>
    <w:rsid w:val="37B47B69"/>
    <w:rsid w:val="391852B3"/>
    <w:rsid w:val="39EB7DA1"/>
    <w:rsid w:val="3B0F67E3"/>
    <w:rsid w:val="3B2F0785"/>
    <w:rsid w:val="3B365F0A"/>
    <w:rsid w:val="3B7261A2"/>
    <w:rsid w:val="3BCA26B2"/>
    <w:rsid w:val="3D5A2677"/>
    <w:rsid w:val="3E3437B7"/>
    <w:rsid w:val="40E92B8C"/>
    <w:rsid w:val="41296F7D"/>
    <w:rsid w:val="44CD7D2F"/>
    <w:rsid w:val="461126B7"/>
    <w:rsid w:val="473012A4"/>
    <w:rsid w:val="482F51BD"/>
    <w:rsid w:val="49D224B3"/>
    <w:rsid w:val="4AF42C45"/>
    <w:rsid w:val="4B2A3500"/>
    <w:rsid w:val="4B82728F"/>
    <w:rsid w:val="4BA0201A"/>
    <w:rsid w:val="4C130BC6"/>
    <w:rsid w:val="4CA47421"/>
    <w:rsid w:val="4D35472E"/>
    <w:rsid w:val="4E92230C"/>
    <w:rsid w:val="4F3E61E9"/>
    <w:rsid w:val="4F7C3164"/>
    <w:rsid w:val="512B50B0"/>
    <w:rsid w:val="516A3F49"/>
    <w:rsid w:val="51B21172"/>
    <w:rsid w:val="51F418CD"/>
    <w:rsid w:val="52503972"/>
    <w:rsid w:val="538954A7"/>
    <w:rsid w:val="53CA11E5"/>
    <w:rsid w:val="540522D2"/>
    <w:rsid w:val="544F0B55"/>
    <w:rsid w:val="54502CE5"/>
    <w:rsid w:val="54EE1E8E"/>
    <w:rsid w:val="57872B8F"/>
    <w:rsid w:val="592041D4"/>
    <w:rsid w:val="5AAC6D37"/>
    <w:rsid w:val="5B2E79B9"/>
    <w:rsid w:val="5BB147B7"/>
    <w:rsid w:val="5D624E5E"/>
    <w:rsid w:val="60851699"/>
    <w:rsid w:val="60EA743F"/>
    <w:rsid w:val="60FC7EDE"/>
    <w:rsid w:val="64004BDA"/>
    <w:rsid w:val="64765C25"/>
    <w:rsid w:val="64846F95"/>
    <w:rsid w:val="65305110"/>
    <w:rsid w:val="658752F0"/>
    <w:rsid w:val="66A32CFF"/>
    <w:rsid w:val="670A5267"/>
    <w:rsid w:val="6B065FBA"/>
    <w:rsid w:val="6B2F37E3"/>
    <w:rsid w:val="6D234C65"/>
    <w:rsid w:val="6D2B51D5"/>
    <w:rsid w:val="6E8F6B1F"/>
    <w:rsid w:val="6ED07EE6"/>
    <w:rsid w:val="70606A09"/>
    <w:rsid w:val="72A44A1F"/>
    <w:rsid w:val="73337FF9"/>
    <w:rsid w:val="745F3BFC"/>
    <w:rsid w:val="78AE17AF"/>
    <w:rsid w:val="78BE37C7"/>
    <w:rsid w:val="796B5106"/>
    <w:rsid w:val="7A081859"/>
    <w:rsid w:val="7A506D6A"/>
    <w:rsid w:val="7A8A3874"/>
    <w:rsid w:val="7AAC2E8C"/>
    <w:rsid w:val="7BB64C3F"/>
    <w:rsid w:val="7C3C062E"/>
    <w:rsid w:val="7E85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pacing w:after="120"/>
      <w:outlineLvl w:val="0"/>
    </w:pPr>
    <w:rPr>
      <w:rFonts w:eastAsia="黑体"/>
      <w:b/>
      <w:bCs/>
      <w:kern w:val="44"/>
      <w:szCs w:val="44"/>
    </w:rPr>
  </w:style>
  <w:style w:type="paragraph" w:styleId="3">
    <w:name w:val="heading 3"/>
    <w:basedOn w:val="1"/>
    <w:next w:val="1"/>
    <w:link w:val="25"/>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unhideWhenUsed/>
    <w:qFormat/>
    <w:uiPriority w:val="99"/>
    <w:pPr>
      <w:jc w:val="left"/>
    </w:pPr>
  </w:style>
  <w:style w:type="paragraph" w:styleId="5">
    <w:name w:val="Balloon Text"/>
    <w:basedOn w:val="1"/>
    <w:link w:val="23"/>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2"/>
    <w:next w:val="1"/>
    <w:link w:val="18"/>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10">
    <w:name w:val="annotation subject"/>
    <w:basedOn w:val="4"/>
    <w:next w:val="4"/>
    <w:link w:val="22"/>
    <w:unhideWhenUsed/>
    <w:qFormat/>
    <w:uiPriority w:val="99"/>
    <w:rPr>
      <w:b/>
      <w:bCs/>
    </w:rPr>
  </w:style>
  <w:style w:type="character" w:styleId="13">
    <w:name w:val="Emphasis"/>
    <w:basedOn w:val="12"/>
    <w:qFormat/>
    <w:uiPriority w:val="20"/>
    <w:rPr>
      <w:i/>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styleId="15">
    <w:name w:val="annotation reference"/>
    <w:basedOn w:val="12"/>
    <w:unhideWhenUsed/>
    <w:qFormat/>
    <w:uiPriority w:val="99"/>
    <w:rPr>
      <w:sz w:val="21"/>
      <w:szCs w:val="21"/>
    </w:rPr>
  </w:style>
  <w:style w:type="character" w:customStyle="1" w:styleId="16">
    <w:name w:val="标题 1 Char"/>
    <w:basedOn w:val="12"/>
    <w:link w:val="2"/>
    <w:qFormat/>
    <w:uiPriority w:val="0"/>
    <w:rPr>
      <w:rFonts w:eastAsia="黑体"/>
      <w:b/>
      <w:bCs/>
      <w:kern w:val="44"/>
      <w:sz w:val="32"/>
      <w:szCs w:val="44"/>
    </w:rPr>
  </w:style>
  <w:style w:type="paragraph" w:customStyle="1" w:styleId="17">
    <w:name w:val="小小标题"/>
    <w:basedOn w:val="2"/>
    <w:qFormat/>
    <w:uiPriority w:val="0"/>
    <w:pPr>
      <w:ind w:firstLine="640"/>
    </w:pPr>
    <w:rPr>
      <w:rFonts w:ascii="Times New Roman" w:hAnsi="Times New Roman" w:eastAsia="楷体_GB2312" w:cs="Times New Roman"/>
    </w:rPr>
  </w:style>
  <w:style w:type="character" w:customStyle="1" w:styleId="18">
    <w:name w:val="标题 Char"/>
    <w:basedOn w:val="12"/>
    <w:link w:val="9"/>
    <w:qFormat/>
    <w:uiPriority w:val="0"/>
    <w:rPr>
      <w:rFonts w:eastAsia="方正小标宋简体" w:asciiTheme="majorHAnsi" w:hAnsiTheme="majorHAnsi" w:cstheme="majorBidi"/>
      <w:kern w:val="44"/>
      <w:sz w:val="44"/>
      <w:szCs w:val="32"/>
    </w:rPr>
  </w:style>
  <w:style w:type="character" w:customStyle="1" w:styleId="19">
    <w:name w:val="页眉 Char"/>
    <w:basedOn w:val="12"/>
    <w:link w:val="7"/>
    <w:qFormat/>
    <w:uiPriority w:val="99"/>
    <w:rPr>
      <w:sz w:val="18"/>
      <w:szCs w:val="18"/>
    </w:rPr>
  </w:style>
  <w:style w:type="character" w:customStyle="1" w:styleId="20">
    <w:name w:val="页脚 Char"/>
    <w:basedOn w:val="12"/>
    <w:link w:val="6"/>
    <w:qFormat/>
    <w:uiPriority w:val="99"/>
    <w:rPr>
      <w:sz w:val="18"/>
      <w:szCs w:val="18"/>
    </w:rPr>
  </w:style>
  <w:style w:type="character" w:customStyle="1" w:styleId="21">
    <w:name w:val="批注文字 Char"/>
    <w:basedOn w:val="12"/>
    <w:link w:val="4"/>
    <w:semiHidden/>
    <w:qFormat/>
    <w:uiPriority w:val="99"/>
  </w:style>
  <w:style w:type="character" w:customStyle="1" w:styleId="22">
    <w:name w:val="批注主题 Char"/>
    <w:basedOn w:val="21"/>
    <w:link w:val="10"/>
    <w:semiHidden/>
    <w:qFormat/>
    <w:uiPriority w:val="99"/>
    <w:rPr>
      <w:b/>
      <w:bCs/>
    </w:rPr>
  </w:style>
  <w:style w:type="character" w:customStyle="1" w:styleId="23">
    <w:name w:val="批注框文本 Char"/>
    <w:basedOn w:val="12"/>
    <w:link w:val="5"/>
    <w:semiHidden/>
    <w:qFormat/>
    <w:uiPriority w:val="99"/>
    <w:rPr>
      <w:sz w:val="18"/>
      <w:szCs w:val="18"/>
    </w:rPr>
  </w:style>
  <w:style w:type="paragraph" w:customStyle="1" w:styleId="24">
    <w:name w:val="列出段落1"/>
    <w:basedOn w:val="1"/>
    <w:qFormat/>
    <w:uiPriority w:val="34"/>
    <w:pPr>
      <w:ind w:firstLine="420" w:firstLineChars="200"/>
    </w:pPr>
  </w:style>
  <w:style w:type="character" w:customStyle="1" w:styleId="25">
    <w:name w:val="标题 3 Char"/>
    <w:basedOn w:val="12"/>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8AE1-C589-48CD-9F91-C7BC0A651E24}">
  <ds:schemaRefs/>
</ds:datastoreItem>
</file>

<file path=docProps/app.xml><?xml version="1.0" encoding="utf-8"?>
<Properties xmlns="http://schemas.openxmlformats.org/officeDocument/2006/extended-properties" xmlns:vt="http://schemas.openxmlformats.org/officeDocument/2006/docPropsVTypes">
  <Template>Normal</Template>
  <Pages>3</Pages>
  <Words>4095</Words>
  <Characters>4151</Characters>
  <Lines>32</Lines>
  <Paragraphs>9</Paragraphs>
  <TotalTime>2</TotalTime>
  <ScaleCrop>false</ScaleCrop>
  <LinksUpToDate>false</LinksUpToDate>
  <CharactersWithSpaces>4421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WPS_1591254345</cp:lastModifiedBy>
  <cp:lastPrinted>2019-06-18T01:35:00Z</cp:lastPrinted>
  <dcterms:modified xsi:type="dcterms:W3CDTF">2026-06-15T06:20:26Z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C282C706258D491CB0767ED5C4AF7E14_13</vt:lpwstr>
  </property>
  <property fmtid="{D5CDD505-2E9C-101B-9397-08002B2CF9AE}" pid="4" name="KSOTemplateDocerSaveRecord">
    <vt:lpwstr>eyJoZGlkIjoiMWZlMDBhMGIxYjNiZDE1MDlhNWUyMjJhMzIwM2EwOWYiLCJ1c2VySWQiOiIxMDA2MTgyMzU5In0=</vt:lpwstr>
  </property>
</Properties>
</file>