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</w:pPr>
    </w:p>
    <w:p>
      <w:pPr>
        <w:widowControl/>
        <w:jc w:val="center"/>
        <w:rPr>
          <w:rFonts w:hint="eastAsia" w:ascii="宋体" w:hAnsi="宋体" w:cs="宋体"/>
          <w:b/>
          <w:bCs/>
          <w:kern w:val="0"/>
          <w:sz w:val="24"/>
        </w:rPr>
      </w:pPr>
    </w:p>
    <w:p>
      <w:pPr>
        <w:widowControl/>
        <w:jc w:val="center"/>
        <w:rPr>
          <w:rFonts w:hint="eastAsia"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 xml:space="preserve">资产清单 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基准日：2025年</w:t>
      </w:r>
      <w:r>
        <w:rPr>
          <w:rFonts w:hint="eastAsia" w:ascii="宋体" w:hAnsi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11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月20日                                           单位：人民币  元</w:t>
      </w:r>
    </w:p>
    <w:tbl>
      <w:tblPr>
        <w:tblStyle w:val="4"/>
        <w:tblW w:w="109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1"/>
        <w:gridCol w:w="1302"/>
        <w:gridCol w:w="1452"/>
        <w:gridCol w:w="1623"/>
        <w:gridCol w:w="1165"/>
        <w:gridCol w:w="2064"/>
        <w:gridCol w:w="2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4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30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  <w:t>债务人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  <w:t>债权本金</w:t>
            </w:r>
          </w:p>
        </w:tc>
        <w:tc>
          <w:tcPr>
            <w:tcW w:w="162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  <w:t>债权利息</w:t>
            </w:r>
          </w:p>
        </w:tc>
        <w:tc>
          <w:tcPr>
            <w:tcW w:w="116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  <w:t>其他债权</w:t>
            </w:r>
          </w:p>
        </w:tc>
        <w:tc>
          <w:tcPr>
            <w:tcW w:w="206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  <w:t>担保人</w:t>
            </w:r>
          </w:p>
        </w:tc>
        <w:tc>
          <w:tcPr>
            <w:tcW w:w="297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  <w:t>担保物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401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聊城市立海冷藏有限公司</w:t>
            </w:r>
          </w:p>
        </w:tc>
        <w:tc>
          <w:tcPr>
            <w:tcW w:w="14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15,000,000.00 </w:t>
            </w:r>
          </w:p>
        </w:tc>
        <w:tc>
          <w:tcPr>
            <w:tcW w:w="16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998,849.89 </w:t>
            </w:r>
          </w:p>
        </w:tc>
        <w:tc>
          <w:tcPr>
            <w:tcW w:w="116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6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聊城金立房地产开发有限公司、聊城弗斯特尔生物技术有限公司、张立海、李焕英、张立军、申荣华</w:t>
            </w:r>
          </w:p>
        </w:tc>
        <w:tc>
          <w:tcPr>
            <w:tcW w:w="297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1、聊城市古楼办事处站前街东、军干路北金立文苑居住组团小区1号楼S-8室、4号楼S-21室、S-24、S-25、S-26、S-49、S-50、S-51室商铺；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2、聊城古楼办事处中通时代豪园29号楼1单元1-2层11号商铺；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3、聊城市嘉明经济开发区西外环路以东、京九铁路以西工业土地；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401" w:type="dxa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山东鑫博翔建筑工程有限责任公司</w:t>
            </w:r>
          </w:p>
        </w:tc>
        <w:tc>
          <w:tcPr>
            <w:tcW w:w="14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705,751.92 </w:t>
            </w:r>
          </w:p>
        </w:tc>
        <w:tc>
          <w:tcPr>
            <w:tcW w:w="16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40,932.46 </w:t>
            </w:r>
          </w:p>
        </w:tc>
        <w:tc>
          <w:tcPr>
            <w:tcW w:w="116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6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张翔</w:t>
            </w:r>
          </w:p>
        </w:tc>
        <w:tc>
          <w:tcPr>
            <w:tcW w:w="297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聊城柳园办事处后菜市街北东关国际西区3号住宅楼2单元31层2311室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401" w:type="dxa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3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临清市九运木业有限公司</w:t>
            </w:r>
          </w:p>
        </w:tc>
        <w:tc>
          <w:tcPr>
            <w:tcW w:w="14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460,539.41 </w:t>
            </w:r>
          </w:p>
        </w:tc>
        <w:tc>
          <w:tcPr>
            <w:tcW w:w="16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69,796.30 </w:t>
            </w:r>
          </w:p>
        </w:tc>
        <w:tc>
          <w:tcPr>
            <w:tcW w:w="116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3,420.00 </w:t>
            </w:r>
          </w:p>
        </w:tc>
        <w:tc>
          <w:tcPr>
            <w:tcW w:w="206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吴胜男、冯建超</w:t>
            </w:r>
          </w:p>
        </w:tc>
        <w:tc>
          <w:tcPr>
            <w:tcW w:w="297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聊城临清市曙光路中段西侧中央帝景小区A区8幢2单元1102室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401" w:type="dxa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3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冠县运泰物流有限公司</w:t>
            </w:r>
          </w:p>
        </w:tc>
        <w:tc>
          <w:tcPr>
            <w:tcW w:w="14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600,000.00 </w:t>
            </w:r>
          </w:p>
        </w:tc>
        <w:tc>
          <w:tcPr>
            <w:tcW w:w="16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54,458.40 </w:t>
            </w:r>
          </w:p>
        </w:tc>
        <w:tc>
          <w:tcPr>
            <w:tcW w:w="116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6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刘丙元、刘春梅</w:t>
            </w:r>
          </w:p>
        </w:tc>
        <w:tc>
          <w:tcPr>
            <w:tcW w:w="297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401" w:type="dxa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3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山东华东园林建设集团有限公司</w:t>
            </w:r>
          </w:p>
        </w:tc>
        <w:tc>
          <w:tcPr>
            <w:tcW w:w="14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8,404,612.57 </w:t>
            </w:r>
          </w:p>
        </w:tc>
        <w:tc>
          <w:tcPr>
            <w:tcW w:w="16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1,447,934.72 </w:t>
            </w:r>
          </w:p>
        </w:tc>
        <w:tc>
          <w:tcPr>
            <w:tcW w:w="116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6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山东富邦机械装备有限公司、张园君、白英光、虞秋玉、王改环、于秋林、张秀兰、张敬中</w:t>
            </w:r>
          </w:p>
        </w:tc>
        <w:tc>
          <w:tcPr>
            <w:tcW w:w="297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山东华东园林建设集团有限公司股权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401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02" w:type="dxa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合计</w:t>
            </w:r>
          </w:p>
        </w:tc>
        <w:tc>
          <w:tcPr>
            <w:tcW w:w="14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25,170,903.90  </w:t>
            </w:r>
          </w:p>
        </w:tc>
        <w:tc>
          <w:tcPr>
            <w:tcW w:w="16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2,611,971.78 </w:t>
            </w:r>
          </w:p>
        </w:tc>
        <w:tc>
          <w:tcPr>
            <w:tcW w:w="116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3,420.00 </w:t>
            </w:r>
          </w:p>
        </w:tc>
        <w:tc>
          <w:tcPr>
            <w:tcW w:w="2064" w:type="dxa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970" w:type="dxa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</w:tbl>
    <w:p/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备注：聊城市立海冷藏有限公司尚未获取胜诉判决，同时上述抵押物可能存在已出售、被占用等抵押权不能获得法院支持的瑕疵因素，特此予以提示。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AF21B9"/>
    <w:rsid w:val="6B220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ind w:firstLine="643"/>
      <w:outlineLvl w:val="1"/>
    </w:pPr>
    <w:rPr>
      <w:rFonts w:eastAsia="楷体_GB231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unhideWhenUsed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2025-12-17T01:35:00Z</dcterms:created>
  <dc:creator>Administrator</dc:creator>
  <cp:lastModifiedBy>liyangc</cp:lastModifiedBy>
  <dcterms:modified xsi:type="dcterms:W3CDTF">2025-12-17T01:40:32Z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KSOTemplateDocerSaveRecord">
    <vt:lpwstr>eyJoZGlkIjoiZWVjNDUxY2M0MTMzZjM4NWE1N2Q1ZTViY2I5OTVlYzYiLCJ1c2VySWQiOiI0NTUyNDAxNzgifQ==</vt:lpwstr>
  </property>
  <property fmtid="{D5CDD505-2E9C-101B-9397-08002B2CF9AE}" pid="4" name="ICV">
    <vt:lpwstr>4024222EF16448E7A6B890B7CBC88C65_12</vt:lpwstr>
  </property>
</Properties>
</file>