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0EB6">
      <w:pPr>
        <w:jc w:val="center"/>
        <w:rPr>
          <w:rFonts w:hint="eastAsia" w:asciiTheme="minorEastAsia" w:hAnsiTheme="minorEastAsia" w:eastAsiaTheme="minorEastAsia" w:cstheme="minorEastAsia"/>
          <w:b/>
          <w:bCs w:val="0"/>
          <w:sz w:val="32"/>
          <w:szCs w:val="32"/>
          <w:lang w:val="en-US" w:eastAsia="zh-CN"/>
        </w:rPr>
      </w:pPr>
    </w:p>
    <w:p w14:paraId="5F47AF1B">
      <w:pPr>
        <w:jc w:val="center"/>
        <w:rPr>
          <w:rFonts w:hint="eastAsia" w:asciiTheme="minorEastAsia" w:hAnsiTheme="minorEastAsia" w:eastAsiaTheme="minorEastAsia" w:cstheme="minorEastAsia"/>
          <w:bCs/>
          <w:sz w:val="36"/>
          <w:szCs w:val="36"/>
        </w:rPr>
      </w:pPr>
      <w:r>
        <w:rPr>
          <w:rFonts w:hint="eastAsia" w:asciiTheme="minorEastAsia" w:hAnsiTheme="minorEastAsia" w:eastAsiaTheme="minorEastAsia" w:cstheme="minorEastAsia"/>
          <w:b/>
          <w:bCs w:val="0"/>
          <w:sz w:val="32"/>
          <w:szCs w:val="32"/>
          <w:lang w:val="en-US" w:eastAsia="zh-CN"/>
        </w:rPr>
        <w:t>资产受让须知与承诺</w:t>
      </w:r>
    </w:p>
    <w:p w14:paraId="22A61CD3">
      <w:pPr>
        <w:keepNext w:val="0"/>
        <w:keepLines w:val="0"/>
        <w:pageBreakBefore w:val="0"/>
        <w:kinsoku/>
        <w:wordWrap/>
        <w:overflowPunct/>
        <w:topLinePunct w:val="0"/>
        <w:autoSpaceDE/>
        <w:autoSpaceDN/>
        <w:bidi w:val="0"/>
        <w:adjustRightInd w:val="0"/>
        <w:snapToGrid w:val="0"/>
        <w:spacing w:line="560" w:lineRule="atLeast"/>
        <w:ind w:right="-199" w:rightChars="-95" w:firstLine="422" w:firstLineChars="200"/>
        <w:textAlignment w:val="auto"/>
        <w:rPr>
          <w:rFonts w:hint="eastAsia" w:asciiTheme="minorEastAsia" w:hAnsiTheme="minorEastAsia" w:eastAsiaTheme="minorEastAsia" w:cstheme="minorEastAsia"/>
          <w:b/>
          <w:kern w:val="0"/>
          <w:szCs w:val="21"/>
        </w:rPr>
      </w:pPr>
    </w:p>
    <w:p w14:paraId="2D40D48A">
      <w:pPr>
        <w:keepNext w:val="0"/>
        <w:keepLines w:val="0"/>
        <w:pageBreakBefore w:val="0"/>
        <w:kinsoku/>
        <w:wordWrap/>
        <w:overflowPunct/>
        <w:topLinePunct w:val="0"/>
        <w:autoSpaceDE/>
        <w:autoSpaceDN/>
        <w:bidi w:val="0"/>
        <w:adjustRightInd w:val="0"/>
        <w:snapToGrid w:val="0"/>
        <w:spacing w:line="560" w:lineRule="atLeast"/>
        <w:ind w:right="-199" w:rightChars="-95" w:firstLine="482"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kern w:val="0"/>
          <w:sz w:val="24"/>
          <w:szCs w:val="24"/>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7EB9C584">
      <w:pPr>
        <w:keepNext w:val="0"/>
        <w:keepLines w:val="0"/>
        <w:pageBreakBefore w:val="0"/>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一、本项目《资产受让须知与承诺》（以下简称“《须知》”）依据</w:t>
      </w:r>
      <w:r>
        <w:rPr>
          <w:rFonts w:hint="eastAsia" w:asciiTheme="minorEastAsia" w:hAnsiTheme="minorEastAsia" w:eastAsiaTheme="minorEastAsia" w:cstheme="minorEastAsia"/>
          <w:kern w:val="0"/>
          <w:sz w:val="24"/>
          <w:szCs w:val="24"/>
        </w:rPr>
        <w:t>《山东产权交易中心企业国有资产转让业务操作规则</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山东产权交易中心交易业务竞价组织管理办法</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山东产权交易中心网络竞价实施办法》和《山东产权交易中心动态报价实施办法》制定</w:t>
      </w:r>
      <w:r>
        <w:rPr>
          <w:rFonts w:hint="eastAsia" w:asciiTheme="minorEastAsia" w:hAnsiTheme="minorEastAsia" w:eastAsiaTheme="minorEastAsia" w:cstheme="minorEastAsia"/>
          <w:sz w:val="24"/>
          <w:szCs w:val="24"/>
        </w:rPr>
        <w:t>。适用于交易方式为网络竞价或动态报价的资产转让项目。</w:t>
      </w:r>
    </w:p>
    <w:p w14:paraId="413EC3FC">
      <w:pPr>
        <w:keepNext w:val="0"/>
        <w:keepLines w:val="0"/>
        <w:pageBreakBefore w:val="0"/>
        <w:widowControl/>
        <w:kinsoku/>
        <w:wordWrap/>
        <w:overflowPunct/>
        <w:topLinePunct w:val="0"/>
        <w:autoSpaceDE/>
        <w:autoSpaceDN/>
        <w:bidi w:val="0"/>
        <w:spacing w:line="560" w:lineRule="atLeast"/>
        <w:ind w:right="-199" w:rightChars="-95" w:firstLine="470" w:firstLineChars="196"/>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二、本项目通过转让公告（以下所指公告均以山东产权交易中心网站</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"http://www.sdcqjy.com" </w:instrText>
      </w:r>
      <w:r>
        <w:rPr>
          <w:rFonts w:hint="eastAsia" w:asciiTheme="minorEastAsia" w:hAnsiTheme="minorEastAsia" w:eastAsiaTheme="minorEastAsia" w:cstheme="minorEastAsia"/>
          <w:sz w:val="24"/>
          <w:szCs w:val="24"/>
        </w:rPr>
        <w:fldChar w:fldCharType="separate"/>
      </w:r>
      <w:r>
        <w:rPr>
          <w:rStyle w:val="5"/>
          <w:rFonts w:hint="eastAsia" w:asciiTheme="minorEastAsia" w:hAnsiTheme="minorEastAsia" w:eastAsiaTheme="minorEastAsia" w:cstheme="minorEastAsia"/>
          <w:color w:val="auto"/>
          <w:kern w:val="0"/>
          <w:sz w:val="24"/>
          <w:szCs w:val="24"/>
        </w:rPr>
        <w:t>www.sdcqjy.com</w:t>
      </w:r>
      <w:r>
        <w:rPr>
          <w:rStyle w:val="5"/>
          <w:rFonts w:hint="eastAsia" w:asciiTheme="minorEastAsia" w:hAnsiTheme="minorEastAsia" w:eastAsiaTheme="minorEastAsia" w:cstheme="minorEastAsia"/>
          <w:color w:val="auto"/>
          <w:kern w:val="0"/>
          <w:sz w:val="24"/>
          <w:szCs w:val="24"/>
        </w:rPr>
        <w:fldChar w:fldCharType="end"/>
      </w:r>
      <w:r>
        <w:rPr>
          <w:rFonts w:hint="eastAsia" w:asciiTheme="minorEastAsia" w:hAnsiTheme="minorEastAsia" w:eastAsiaTheme="minorEastAsia" w:cstheme="minorEastAsia"/>
          <w:kern w:val="0"/>
          <w:sz w:val="24"/>
          <w:szCs w:val="24"/>
        </w:rPr>
        <w:t>披露内容为准）披露的交易方式确定受让方，本次网络竞价活动（含动态报价）由山东产权交易中心有限公司（以下简称“产权中心”）组织实施。</w:t>
      </w:r>
    </w:p>
    <w:p w14:paraId="76CC22E9">
      <w:pPr>
        <w:keepNext w:val="0"/>
        <w:keepLines w:val="0"/>
        <w:pageBreakBefore w:val="0"/>
        <w:widowControl/>
        <w:kinsoku/>
        <w:wordWrap/>
        <w:overflowPunct/>
        <w:topLinePunct w:val="0"/>
        <w:autoSpaceDE/>
        <w:autoSpaceDN/>
        <w:bidi w:val="0"/>
        <w:spacing w:line="560" w:lineRule="atLeast"/>
        <w:ind w:right="-199" w:rightChars="-95" w:firstLine="470" w:firstLineChars="196"/>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信息披露公告期满后，只产生一个符合条件的意向受让方的，除涉及优先购买权人未放弃优先购买权的情形外，交易双方按照转让底价与意向受让方报价孰高原则确定交易价格，签订资产交易合同或其他成交确认文件。</w:t>
      </w:r>
    </w:p>
    <w:p w14:paraId="3694184A">
      <w:pPr>
        <w:keepNext w:val="0"/>
        <w:keepLines w:val="0"/>
        <w:pageBreakBefore w:val="0"/>
        <w:widowControl/>
        <w:kinsoku/>
        <w:wordWrap/>
        <w:overflowPunct/>
        <w:topLinePunct w:val="0"/>
        <w:autoSpaceDE/>
        <w:autoSpaceDN/>
        <w:bidi w:val="0"/>
        <w:spacing w:line="560" w:lineRule="atLeast"/>
        <w:ind w:right="-199" w:rightChars="-95" w:firstLine="470" w:firstLineChars="196"/>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信息披露公告期满，产生两个及以上符合条件的意向受让方的，产权中心按照公告确定的竞价方式组织实施竞价。</w:t>
      </w:r>
    </w:p>
    <w:p w14:paraId="37A4D488">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三、参加本项目网络竞价（含动态报价）的竞买人（已交纳本项目保证金并经审核通过的意向受让方），应已了解并遵守《山东产权交易中心企业国有资产转让业务操作规则</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山东产权交易中心交易业务竞价组织管理办法</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山东产权交易中心网络竞价实施办法</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3B943160">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四、意向受让方应按公告要求的有效报名时间段内</w:t>
      </w:r>
      <w:r>
        <w:rPr>
          <w:rFonts w:hint="eastAsia" w:asciiTheme="minorEastAsia" w:hAnsiTheme="minorEastAsia" w:eastAsiaTheme="minorEastAsia" w:cstheme="minorEastAsia"/>
          <w:kern w:val="0"/>
          <w:sz w:val="24"/>
          <w:szCs w:val="24"/>
          <w:lang w:eastAsia="zh-CN"/>
        </w:rPr>
        <w:t>自行登录</w:t>
      </w:r>
      <w:r>
        <w:rPr>
          <w:rFonts w:hint="eastAsia" w:asciiTheme="minorEastAsia" w:hAnsiTheme="minorEastAsia" w:eastAsiaTheme="minorEastAsia" w:cstheme="minorEastAsia"/>
          <w:kern w:val="0"/>
          <w:sz w:val="24"/>
          <w:szCs w:val="24"/>
        </w:rPr>
        <w:t>产权中心网站或委托经纪机构办理报名登记手续，并按照公告的提示提交报名材料，逾期未按规定提交报名材料的，视为放弃受让资格。</w:t>
      </w:r>
    </w:p>
    <w:p w14:paraId="6EFCF4E0">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2"/>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五</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意向受让方应当按照信息披露公告要求，将交易保证金交纳至产权中心指定的交易资金结算专用账户，支付时间以到达产权中心指定账户时间为准。未按照信息披露公告要求交纳交易保证金的，视为放弃受让资格。本项目保证金金额详见产权中心网站公告，账户信息以交易系统推送的收款账号为准。保证金来源的合法性由交纳主体负责。交易资金原则上不得由他方代为收付。</w:t>
      </w:r>
    </w:p>
    <w:p w14:paraId="543C1FC1">
      <w:pPr>
        <w:keepNext w:val="0"/>
        <w:keepLines w:val="0"/>
        <w:pageBreakBefore w:val="0"/>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E14F599">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七、本项目标的信息详情见公告披露信息。</w:t>
      </w:r>
      <w:r>
        <w:rPr>
          <w:rFonts w:hint="eastAsia" w:asciiTheme="minorEastAsia" w:hAnsiTheme="minorEastAsia" w:eastAsiaTheme="minorEastAsia" w:cstheme="minorEastAsia"/>
          <w:sz w:val="24"/>
          <w:szCs w:val="24"/>
        </w:rPr>
        <w:t>产权中心按转让方要求进行标的图片、名称、文字描述及实物信息等内容发布，仅对转让方提供的披露信息内容进行合规性审核，不保证披露的交易标的相关信息的真实性、完整性和准确性，不保证披露的交易标的名称、图片、描述与交易标的实际相符，也不对交易标的做任何担保。</w:t>
      </w:r>
    </w:p>
    <w:p w14:paraId="2FF2CDE1">
      <w:pPr>
        <w:keepNext w:val="0"/>
        <w:keepLines w:val="0"/>
        <w:pageBreakBefore w:val="0"/>
        <w:kinsoku/>
        <w:wordWrap/>
        <w:overflowPunct/>
        <w:topLinePunct w:val="0"/>
        <w:autoSpaceDE/>
        <w:autoSpaceDN/>
        <w:bidi w:val="0"/>
        <w:spacing w:line="560" w:lineRule="atLeas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对明示按交易标的现状进行交易的，意向受让方应自行勘察交易标的实物，提交交易申请、参与竞买即表明认可交易标的现状，意向受让方将自行承担可能由此产生的损失。</w:t>
      </w:r>
    </w:p>
    <w:p w14:paraId="2AF95A63">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九、意向受让方应当符合公告要求，同意本项目公告中与转让相关的其他条件。如因不符合公告要求对转让方及产权中心造成损失的，须承担违约责任。</w:t>
      </w:r>
    </w:p>
    <w:p w14:paraId="66901581">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十、本项目公告截止日后，已完成报名手续的意向受让方，不得单方撤回报名。</w:t>
      </w:r>
    </w:p>
    <w:p w14:paraId="438DAEF3">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十一、意向受让方须同意以不低于转让底价（即挂牌价格）购买在产权中心公开挂牌转让的</w:t>
      </w:r>
      <w:r>
        <w:rPr>
          <w:rFonts w:hint="eastAsia" w:asciiTheme="minorEastAsia" w:hAnsiTheme="minorEastAsia" w:eastAsiaTheme="minorEastAsia" w:cstheme="minorEastAsia"/>
          <w:kern w:val="0"/>
          <w:sz w:val="24"/>
          <w:szCs w:val="24"/>
          <w:u w:val="single"/>
        </w:rPr>
        <w:t>本</w:t>
      </w:r>
      <w:r>
        <w:rPr>
          <w:rFonts w:hint="eastAsia" w:asciiTheme="minorEastAsia" w:hAnsiTheme="minorEastAsia" w:eastAsiaTheme="minorEastAsia" w:cstheme="minorEastAsia"/>
          <w:kern w:val="0"/>
          <w:sz w:val="24"/>
          <w:szCs w:val="24"/>
        </w:rPr>
        <w:t>项目。</w:t>
      </w:r>
    </w:p>
    <w:p w14:paraId="75F413A9">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9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十二、竞价规则：</w:t>
      </w:r>
    </w:p>
    <w:p w14:paraId="21045A73">
      <w:pPr>
        <w:keepNext w:val="0"/>
        <w:keepLines w:val="0"/>
        <w:pageBreakBefore w:val="0"/>
        <w:widowControl/>
        <w:kinsoku/>
        <w:wordWrap/>
        <w:overflowPunct/>
        <w:topLinePunct w:val="0"/>
        <w:autoSpaceDE/>
        <w:autoSpaceDN/>
        <w:bidi w:val="0"/>
        <w:adjustRightInd w:val="0"/>
        <w:snapToGrid w:val="0"/>
        <w:spacing w:line="560" w:lineRule="atLeast"/>
        <w:ind w:right="0" w:rightChars="0" w:firstLine="480" w:firstLineChars="20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kern w:val="0"/>
          <w:sz w:val="24"/>
          <w:szCs w:val="24"/>
        </w:rPr>
        <w:t>交易方式为网络竞价的，公告期满，只产生一个符合条件的意向受让方的，产权中心采取协议方式组织交易；产生两个及以上符合条件的意向受让方的，意向受让方须参与后续竞价程序。</w:t>
      </w:r>
    </w:p>
    <w:p w14:paraId="168D0F2E">
      <w:pPr>
        <w:keepNext w:val="0"/>
        <w:keepLines w:val="0"/>
        <w:pageBreakBefore w:val="0"/>
        <w:kinsoku/>
        <w:wordWrap/>
        <w:overflowPunct/>
        <w:topLinePunct w:val="0"/>
        <w:autoSpaceDE/>
        <w:autoSpaceDN/>
        <w:bidi w:val="0"/>
        <w:adjustRightInd w:val="0"/>
        <w:snapToGrid w:val="0"/>
        <w:spacing w:line="560" w:lineRule="atLeast"/>
        <w:ind w:firstLine="480" w:firstLineChars="200"/>
        <w:jc w:val="left"/>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1A894A9A">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网络竞价加价规则：</w:t>
      </w:r>
    </w:p>
    <w:p w14:paraId="7DAA1F53">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除对挂牌价格应价外，各竞买人每次加价不得低于加价幅度。</w:t>
      </w:r>
    </w:p>
    <w:p w14:paraId="339752A2">
      <w:pPr>
        <w:keepNext w:val="0"/>
        <w:keepLines w:val="0"/>
        <w:pageBreakBefore w:val="0"/>
        <w:numPr>
          <w:ilvl w:val="0"/>
          <w:numId w:val="1"/>
        </w:numPr>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交易方式为动态报价的，本次动态报价活动以挂牌价格为起始价格。</w:t>
      </w:r>
    </w:p>
    <w:p w14:paraId="6F6BF84A">
      <w:pPr>
        <w:keepNext w:val="0"/>
        <w:keepLines w:val="0"/>
        <w:pageBreakBefore w:val="0"/>
        <w:widowControl/>
        <w:numPr>
          <w:ilvl w:val="255"/>
          <w:numId w:val="0"/>
        </w:numPr>
        <w:kinsoku/>
        <w:wordWrap/>
        <w:overflowPunct/>
        <w:topLinePunct w:val="0"/>
        <w:autoSpaceDE/>
        <w:autoSpaceDN/>
        <w:bidi w:val="0"/>
        <w:adjustRightInd w:val="0"/>
        <w:snapToGrid w:val="0"/>
        <w:spacing w:line="560" w:lineRule="atLeast"/>
        <w:ind w:right="-199" w:rightChars="-95" w:firstLine="48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如信息公告期满，只产生一个意向受让方的，产权中心组织交易双方按照竞买人报价与转让底价孰高原则直接签订《资产交易合同》。</w:t>
      </w:r>
    </w:p>
    <w:p w14:paraId="5F2FCEFB">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信息公告期满，产生两家及以上意向受让方的，意向受让方须在规定的报价时间内报价。</w:t>
      </w:r>
    </w:p>
    <w:p w14:paraId="6BD43890">
      <w:pPr>
        <w:keepNext w:val="0"/>
        <w:keepLines w:val="0"/>
        <w:pageBreakBefore w:val="0"/>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动态报价由定时报价期和连续报价期组成。</w:t>
      </w:r>
    </w:p>
    <w:p w14:paraId="2E7A0F2E">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sz w:val="24"/>
          <w:szCs w:val="24"/>
        </w:rPr>
        <w:t>定</w:t>
      </w:r>
      <w:r>
        <w:rPr>
          <w:rFonts w:hint="eastAsia" w:asciiTheme="minorEastAsia" w:hAnsiTheme="minorEastAsia" w:eastAsiaTheme="minorEastAsia" w:cstheme="minorEastAsia"/>
          <w:kern w:val="0"/>
          <w:sz w:val="24"/>
          <w:szCs w:val="24"/>
        </w:rPr>
        <w:t>时报价期起始时间详见网站披露信息。在此期间，竞买人可对转让标的进行报价，各竞买人的每次有效报价随即成为当前报价。</w:t>
      </w:r>
    </w:p>
    <w:p w14:paraId="3C85FDA8">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21BC0A55">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动态报价加价规则：</w:t>
      </w:r>
    </w:p>
    <w:p w14:paraId="3C78A9C3">
      <w:pPr>
        <w:keepNext w:val="0"/>
        <w:keepLines w:val="0"/>
        <w:pageBreakBefore w:val="0"/>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本次动态报价的加价幅度详见网站披露信息。除对转让底价应价外，各竞买人每次加价不得低于加价幅度。</w:t>
      </w:r>
    </w:p>
    <w:p w14:paraId="63BE43D8">
      <w:pPr>
        <w:keepNext w:val="0"/>
        <w:keepLines w:val="0"/>
        <w:pageBreakBefore w:val="0"/>
        <w:numPr>
          <w:ilvl w:val="0"/>
          <w:numId w:val="1"/>
        </w:numPr>
        <w:kinsoku/>
        <w:wordWrap/>
        <w:overflowPunct/>
        <w:topLinePunct w:val="0"/>
        <w:autoSpaceDE/>
        <w:autoSpaceDN/>
        <w:bidi w:val="0"/>
        <w:spacing w:line="560" w:lineRule="atLeast"/>
        <w:ind w:right="-199" w:rightChars="-95" w:firstLine="482" w:firstLineChars="200"/>
        <w:textAlignment w:val="auto"/>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sz w:val="24"/>
          <w:szCs w:val="24"/>
          <w:highlight w:val="none"/>
        </w:rPr>
        <w:t>项目存在优先购买权人的，</w:t>
      </w:r>
      <w:r>
        <w:rPr>
          <w:rFonts w:hint="eastAsia" w:asciiTheme="minorEastAsia" w:hAnsiTheme="minorEastAsia" w:eastAsiaTheme="minorEastAsia" w:cstheme="minorEastAsia"/>
          <w:b/>
          <w:bCs/>
          <w:kern w:val="0"/>
          <w:sz w:val="24"/>
          <w:szCs w:val="24"/>
          <w:highlight w:val="none"/>
        </w:rPr>
        <w:t>优先购买权行使方式</w:t>
      </w:r>
      <w:r>
        <w:rPr>
          <w:rFonts w:hint="eastAsia" w:asciiTheme="minorEastAsia" w:hAnsiTheme="minorEastAsia" w:eastAsiaTheme="minorEastAsia" w:cstheme="minorEastAsia"/>
          <w:b/>
          <w:bCs/>
          <w:color w:val="auto"/>
          <w:kern w:val="0"/>
          <w:sz w:val="24"/>
          <w:szCs w:val="24"/>
          <w:highlight w:val="none"/>
          <w:lang w:val="en-US" w:eastAsia="zh-CN"/>
        </w:rPr>
        <w:t>详见项目挂牌公告，具体</w:t>
      </w:r>
      <w:r>
        <w:rPr>
          <w:rFonts w:hint="eastAsia" w:asciiTheme="minorEastAsia" w:hAnsiTheme="minorEastAsia" w:eastAsiaTheme="minorEastAsia" w:cstheme="minorEastAsia"/>
          <w:b/>
          <w:bCs/>
          <w:kern w:val="0"/>
          <w:sz w:val="24"/>
          <w:szCs w:val="24"/>
          <w:highlight w:val="none"/>
          <w:lang w:val="en-US" w:eastAsia="zh-CN"/>
        </w:rPr>
        <w:t>参照</w:t>
      </w:r>
      <w:r>
        <w:rPr>
          <w:rFonts w:hint="eastAsia" w:asciiTheme="minorEastAsia" w:hAnsiTheme="minorEastAsia" w:eastAsiaTheme="minorEastAsia" w:cstheme="minorEastAsia"/>
          <w:b/>
          <w:bCs/>
          <w:kern w:val="0"/>
          <w:sz w:val="24"/>
          <w:szCs w:val="24"/>
          <w:highlight w:val="none"/>
        </w:rPr>
        <w:t>《企业国有产权交易优先购买权行使操作细则（试行）》</w:t>
      </w:r>
      <w:r>
        <w:rPr>
          <w:rFonts w:hint="eastAsia" w:asciiTheme="minorEastAsia" w:hAnsiTheme="minorEastAsia" w:eastAsiaTheme="minorEastAsia" w:cstheme="minorEastAsia"/>
          <w:b/>
          <w:bCs/>
          <w:color w:val="auto"/>
          <w:kern w:val="0"/>
          <w:sz w:val="24"/>
          <w:szCs w:val="24"/>
          <w:highlight w:val="none"/>
          <w:lang w:val="en-US" w:eastAsia="zh-CN"/>
        </w:rPr>
        <w:t>有关要求执行</w:t>
      </w:r>
      <w:r>
        <w:rPr>
          <w:rFonts w:hint="eastAsia" w:asciiTheme="minorEastAsia" w:hAnsiTheme="minorEastAsia" w:eastAsiaTheme="minorEastAsia" w:cstheme="minorEastAsia"/>
          <w:b/>
          <w:bCs/>
          <w:kern w:val="0"/>
          <w:sz w:val="24"/>
          <w:szCs w:val="24"/>
          <w:highlight w:val="none"/>
        </w:rPr>
        <w:t>。</w:t>
      </w:r>
    </w:p>
    <w:p w14:paraId="001CA1B9">
      <w:pPr>
        <w:keepNext w:val="0"/>
        <w:keepLines w:val="0"/>
        <w:pageBreakBefore w:val="0"/>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十三、产权中心根据交易规则确定受让方后，向受让方出具《结果通知单》。</w:t>
      </w:r>
    </w:p>
    <w:p w14:paraId="04E33229">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受让方在收到《结果通知单》之日起5个工作日内支付应付交易价款及交易费用至产权中心指定账户，交易费用按</w:t>
      </w:r>
      <w:r>
        <w:rPr>
          <w:rFonts w:hint="eastAsia" w:asciiTheme="minorEastAsia" w:hAnsiTheme="minorEastAsia" w:cstheme="minorEastAsia"/>
          <w:sz w:val="24"/>
          <w:szCs w:val="24"/>
          <w:lang w:val="en-US" w:eastAsia="zh-CN"/>
        </w:rPr>
        <w:t>成交金额的5%</w:t>
      </w:r>
      <w:r>
        <w:rPr>
          <w:rFonts w:hint="eastAsia" w:asciiTheme="minorEastAsia" w:hAnsiTheme="minorEastAsia" w:eastAsiaTheme="minorEastAsia" w:cstheme="minorEastAsia"/>
          <w:sz w:val="24"/>
          <w:szCs w:val="24"/>
          <w:lang w:val="en-US" w:eastAsia="zh-CN"/>
        </w:rPr>
        <w:t>交纳。</w:t>
      </w:r>
    </w:p>
    <w:p w14:paraId="151C67A3">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四、意向受让方交纳的交易保证金可以根据约定转为交易价款的一部分；交易双方没有约定保证金转为部分交易价款，受让方已按约定支付交易价款且产权中心已出具交易凭证的，且未出现违约情形的，产权中心在收到受让方提交退还保证金书面申请后2个工作日内或按照产权交易合同的相关约定予以返还。其他未成交且无违约行为的意向受让方交纳的交易保证金，由产权中心在确定受让方之日起2个工作日内一次性原额无息返还。</w:t>
      </w:r>
    </w:p>
    <w:p w14:paraId="311425E4">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79959B5F">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十六、产权中心将按以下方式之一向意向受让方发送有关事项通知：</w:t>
      </w:r>
    </w:p>
    <w:p w14:paraId="412D8C71">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1、通过意向受让方在产权中心交易系统预留的邮箱发送邮件；</w:t>
      </w:r>
    </w:p>
    <w:p w14:paraId="0858D40F">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2、按意向受让方提交的报名材料或交易系统中载明的联系人手机号码发送手机短信。</w:t>
      </w:r>
    </w:p>
    <w:p w14:paraId="2D1BFFB7">
      <w:pPr>
        <w:keepNext w:val="0"/>
        <w:keepLines w:val="0"/>
        <w:pageBreakBefore w:val="0"/>
        <w:widowControl/>
        <w:kinsoku/>
        <w:wordWrap/>
        <w:overflowPunct/>
        <w:topLinePunct w:val="0"/>
        <w:autoSpaceDE/>
        <w:autoSpaceDN/>
        <w:bidi w:val="0"/>
        <w:adjustRightInd w:val="0"/>
        <w:snapToGrid w:val="0"/>
        <w:spacing w:line="560" w:lineRule="atLeast"/>
        <w:ind w:right="-199" w:rightChars="-95" w:firstLine="482" w:firstLineChars="20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邮箱信息或手机短信一旦发送成功，即视为意向受让方已经收到。请意向受让方确保其网上注册账户信息及报名材料信息准确无误，并保持手机通讯通畅，及时查看通知消息。</w:t>
      </w:r>
    </w:p>
    <w:p w14:paraId="673D154A">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七、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098D6E2F">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十八、因意向受让方如下行为产生的一切后果，产权中心不承担任何责任：</w:t>
      </w:r>
    </w:p>
    <w:p w14:paraId="342FBA07">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1、未及时关注产权中心及竞价系统发布的网络竞价活动相关信息的。</w:t>
      </w:r>
    </w:p>
    <w:p w14:paraId="1C88E1E5">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2、由于意向受让方使用的终端设备和网络异常等原因导致无法正常报价的。</w:t>
      </w:r>
    </w:p>
    <w:p w14:paraId="6C2A4E0B">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3、网络竞价活动的时间以竞价系统服务器时间为准。由于意向受让方使用的终端设备时间与竞价系统服务器时间不符而导致未按时参与报价的。</w:t>
      </w:r>
    </w:p>
    <w:p w14:paraId="4BC4E61C">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4、根据《山东产权交易中心交易业务竞价组织管理办法》无法正常组织网络竞价的。</w:t>
      </w:r>
    </w:p>
    <w:p w14:paraId="59477819">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以及其他适用于互联网站的中华人民共和国法律法规规定的有关免责行为。</w:t>
      </w:r>
    </w:p>
    <w:p w14:paraId="3E6F44A4">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十九、竞价系统因软硬件故障</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51542636">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报价记录可以恢复的，以中断时的最高有效报价为起始价继续报价；报价记录无法恢复的，以转让底价为起始价重新报价。</w:t>
      </w:r>
    </w:p>
    <w:p w14:paraId="774C55A0">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二十、意向受让方须同意，如违反本项目《须知》的，产权中心有权取消其竞买资格，并同意产权中心根据《山东产权交易中心交易保证金操作细则》及本项目《须知》扣收其交纳的保证金。</w:t>
      </w:r>
    </w:p>
    <w:p w14:paraId="01080281">
      <w:pPr>
        <w:keepNext w:val="0"/>
        <w:keepLines w:val="0"/>
        <w:pageBreakBefore w:val="0"/>
        <w:widowControl/>
        <w:kinsoku/>
        <w:wordWrap/>
        <w:overflowPunct/>
        <w:topLinePunct w:val="0"/>
        <w:autoSpaceDE/>
        <w:autoSpaceDN/>
        <w:bidi w:val="0"/>
        <w:spacing w:line="560" w:lineRule="atLeast"/>
        <w:ind w:right="-199" w:rightChars="-95" w:firstLine="482" w:firstLineChars="20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二十一、意向受让方须同意，被确定为受让方后不能在规定时间内与转让方签订《资产交易合同》并付清交易价款及交易费用、按要求完成项目移交的，承诺承担以下责任：</w:t>
      </w:r>
    </w:p>
    <w:p w14:paraId="1149217C">
      <w:pPr>
        <w:keepNext w:val="0"/>
        <w:keepLines w:val="0"/>
        <w:pageBreakBefore w:val="0"/>
        <w:widowControl/>
        <w:kinsoku/>
        <w:wordWrap/>
        <w:overflowPunct/>
        <w:topLinePunct w:val="0"/>
        <w:autoSpaceDE/>
        <w:autoSpaceDN/>
        <w:bidi w:val="0"/>
        <w:spacing w:line="560" w:lineRule="atLeast"/>
        <w:ind w:right="-199" w:rightChars="-95" w:firstLine="482" w:firstLineChars="20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未能在规定时间内与转让方签订《资产交易合同》并付清全部交易价款及交易费用的，构成违约。意向受让方同意产权中心按照《山东产权交易中心交易保证金操作细则》扣收保证金。受让方构成违约的，仍须承担本次交易活动受让方及转让方的全部交易费用。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237C30FE">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086789CF">
      <w:pPr>
        <w:keepNext w:val="0"/>
        <w:keepLines w:val="0"/>
        <w:pageBreakBefore w:val="0"/>
        <w:numPr>
          <w:ilvl w:val="255"/>
          <w:numId w:val="0"/>
        </w:numPr>
        <w:kinsoku/>
        <w:wordWrap/>
        <w:overflowPunct/>
        <w:topLinePunct w:val="0"/>
        <w:autoSpaceDE/>
        <w:autoSpaceDN/>
        <w:bidi w:val="0"/>
        <w:spacing w:line="560" w:lineRule="atLeast"/>
        <w:ind w:right="-199" w:rightChars="-95"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二十三、意向受让方应当对在资产转让过程中获悉的交易各方及标的的相关情况承担保密义务。</w:t>
      </w:r>
    </w:p>
    <w:p w14:paraId="29601F5E">
      <w:pPr>
        <w:pStyle w:val="2"/>
        <w:rPr>
          <w:rFonts w:hint="eastAsia" w:asciiTheme="minorEastAsia" w:hAnsiTheme="minorEastAsia" w:eastAsiaTheme="minorEastAsia" w:cstheme="minorEastAsia"/>
          <w:sz w:val="24"/>
          <w:szCs w:val="24"/>
          <w:lang w:val="en-US" w:eastAsia="zh-CN"/>
        </w:rPr>
      </w:pPr>
    </w:p>
    <w:p w14:paraId="2AB55F7B">
      <w:pPr>
        <w:keepNext w:val="0"/>
        <w:keepLines w:val="0"/>
        <w:widowControl/>
        <w:suppressLineNumbers w:val="0"/>
        <w:spacing w:before="0" w:beforeAutospacing="0" w:after="0" w:afterAutospacing="0" w:line="320" w:lineRule="exact"/>
        <w:ind w:left="-283" w:leftChars="-135" w:right="-199" w:rightChars="-95" w:firstLine="163" w:firstLineChars="78"/>
        <w:jc w:val="both"/>
        <w:rPr>
          <w:rFonts w:hint="default" w:ascii="Calibri" w:hAnsi="Calibri" w:eastAsia="宋体" w:cs="Times New Roman"/>
          <w:kern w:val="2"/>
          <w:sz w:val="21"/>
          <w:szCs w:val="21"/>
        </w:rPr>
      </w:pPr>
      <w:r>
        <w:rPr>
          <w:rFonts w:hint="eastAsia" w:ascii="宋体" w:hAnsi="宋体" w:eastAsia="宋体" w:cs="宋体"/>
          <w:kern w:val="0"/>
          <w:sz w:val="21"/>
          <w:szCs w:val="21"/>
          <w:lang w:val="en-US" w:eastAsia="zh-CN" w:bidi="ar"/>
        </w:rPr>
        <w:t xml:space="preserve">  </w:t>
      </w:r>
      <w:r>
        <w:rPr>
          <w:rFonts w:hint="eastAsia" w:ascii="宋体" w:hAnsi="宋体" w:eastAsia="宋体" w:cs="宋体"/>
          <w:b/>
          <w:bCs w:val="0"/>
          <w:kern w:val="0"/>
          <w:sz w:val="21"/>
          <w:szCs w:val="21"/>
          <w:lang w:val="en-US" w:eastAsia="zh-CN" w:bidi="ar"/>
        </w:rPr>
        <w:t xml:space="preserve">□ 承诺方为企业法人或其他经济组织的： </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b/>
          <w:bCs w:val="0"/>
          <w:kern w:val="0"/>
          <w:sz w:val="21"/>
          <w:szCs w:val="21"/>
          <w:lang w:val="en-US" w:eastAsia="zh-CN" w:bidi="ar"/>
        </w:rPr>
        <w:t>□ 承诺方为自然人的：</w:t>
      </w:r>
    </w:p>
    <w:p w14:paraId="2079D097">
      <w:pPr>
        <w:keepNext w:val="0"/>
        <w:keepLines w:val="0"/>
        <w:widowControl/>
        <w:suppressLineNumbers w:val="0"/>
        <w:spacing w:before="0" w:beforeAutospacing="0" w:after="0" w:afterAutospacing="0" w:line="320" w:lineRule="exact"/>
        <w:ind w:left="-283" w:leftChars="-135" w:right="-199" w:rightChars="-95" w:firstLine="163" w:firstLineChars="78"/>
        <w:jc w:val="both"/>
        <w:rPr>
          <w:rFonts w:hint="eastAsia" w:ascii="宋体" w:hAnsi="宋体" w:eastAsia="宋体" w:cs="Times New Roman"/>
          <w:kern w:val="0"/>
          <w:sz w:val="21"/>
          <w:szCs w:val="21"/>
        </w:rPr>
      </w:pPr>
      <w:r>
        <w:rPr>
          <w:rFonts w:hint="eastAsia" w:ascii="宋体" w:hAnsi="宋体" w:eastAsia="宋体" w:cs="Times New Roman"/>
          <w:kern w:val="0"/>
          <w:sz w:val="21"/>
          <w:szCs w:val="21"/>
          <w:lang w:val="en-US" w:eastAsia="zh-CN" w:bidi="ar"/>
        </w:rPr>
        <w:t xml:space="preserve"> </w:t>
      </w:r>
    </w:p>
    <w:p w14:paraId="149C1018">
      <w:pPr>
        <w:keepNext w:val="0"/>
        <w:keepLines w:val="0"/>
        <w:widowControl/>
        <w:suppressLineNumbers w:val="0"/>
        <w:spacing w:before="0" w:beforeAutospacing="0" w:after="0" w:afterAutospacing="0" w:line="320" w:lineRule="exact"/>
        <w:ind w:left="-283" w:leftChars="-135" w:right="-199" w:rightChars="-95" w:firstLine="163" w:firstLineChars="78"/>
        <w:jc w:val="both"/>
        <w:rPr>
          <w:rFonts w:hint="eastAsia" w:ascii="宋体" w:hAnsi="宋体" w:eastAsia="宋体" w:cs="Times New Roman"/>
          <w:kern w:val="0"/>
          <w:sz w:val="21"/>
          <w:szCs w:val="21"/>
          <w:u w:val="single"/>
        </w:rPr>
      </w:pPr>
      <w:r>
        <w:rPr>
          <w:rFonts w:hint="eastAsia" w:ascii="宋体" w:hAnsi="宋体" w:eastAsia="宋体" w:cs="宋体"/>
          <w:kern w:val="0"/>
          <w:sz w:val="21"/>
          <w:szCs w:val="21"/>
          <w:lang w:val="en-US" w:eastAsia="zh-CN" w:bidi="ar"/>
        </w:rPr>
        <w:t>承诺方（盖章）：</w:t>
      </w:r>
      <w:r>
        <w:rPr>
          <w:rFonts w:hint="eastAsia" w:ascii="宋体" w:hAnsi="宋体" w:eastAsia="宋体" w:cs="Times New Roman"/>
          <w:kern w:val="0"/>
          <w:sz w:val="21"/>
          <w:szCs w:val="21"/>
          <w:u w:val="single"/>
          <w:lang w:val="en-US" w:eastAsia="zh-CN" w:bidi="ar"/>
        </w:rPr>
        <w:t xml:space="preserve">             </w:t>
      </w:r>
      <w:r>
        <w:rPr>
          <w:rFonts w:hint="eastAsia" w:ascii="宋体" w:hAnsi="宋体" w:eastAsia="宋体" w:cs="Times New Roman"/>
          <w:kern w:val="0"/>
          <w:sz w:val="21"/>
          <w:szCs w:val="21"/>
          <w:lang w:val="en-US" w:eastAsia="zh-CN" w:bidi="ar"/>
        </w:rPr>
        <w:t xml:space="preserve">                   </w:t>
      </w:r>
      <w:r>
        <w:rPr>
          <w:rFonts w:hint="eastAsia" w:ascii="宋体" w:hAnsi="宋体" w:eastAsia="宋体" w:cs="宋体"/>
          <w:kern w:val="0"/>
          <w:sz w:val="21"/>
          <w:szCs w:val="21"/>
          <w:lang w:val="en-US" w:eastAsia="zh-CN" w:bidi="ar"/>
        </w:rPr>
        <w:t>承诺方（签字、手印）</w:t>
      </w:r>
      <w:r>
        <w:rPr>
          <w:rFonts w:hint="eastAsia" w:ascii="宋体" w:hAnsi="宋体" w:eastAsia="宋体" w:cs="Times New Roman"/>
          <w:kern w:val="0"/>
          <w:sz w:val="21"/>
          <w:szCs w:val="21"/>
          <w:u w:val="single"/>
          <w:lang w:val="en-US" w:eastAsia="zh-CN" w:bidi="ar"/>
        </w:rPr>
        <w:t xml:space="preserve">        </w:t>
      </w:r>
    </w:p>
    <w:p w14:paraId="76ABA631">
      <w:pPr>
        <w:keepNext w:val="0"/>
        <w:keepLines w:val="0"/>
        <w:widowControl/>
        <w:suppressLineNumbers w:val="0"/>
        <w:spacing w:before="0" w:beforeAutospacing="0" w:after="0" w:afterAutospacing="0" w:line="320" w:lineRule="exact"/>
        <w:ind w:left="-283" w:leftChars="-135" w:right="-199" w:rightChars="-95" w:firstLine="163" w:firstLineChars="78"/>
        <w:jc w:val="both"/>
        <w:rPr>
          <w:rFonts w:hint="eastAsia" w:ascii="宋体" w:hAnsi="Times New Roman" w:eastAsia="宋体" w:cs="Times New Roman"/>
          <w:kern w:val="0"/>
          <w:sz w:val="21"/>
          <w:szCs w:val="21"/>
        </w:rPr>
      </w:pPr>
      <w:r>
        <w:rPr>
          <w:rFonts w:hint="eastAsia" w:ascii="宋体" w:hAnsi="宋体" w:eastAsia="宋体" w:cs="宋体"/>
          <w:kern w:val="0"/>
          <w:sz w:val="21"/>
          <w:szCs w:val="21"/>
          <w:lang w:val="en-US" w:eastAsia="zh-CN" w:bidi="ar"/>
        </w:rPr>
        <w:t>法定代表人/授权代表人（签字）：</w:t>
      </w:r>
      <w:r>
        <w:rPr>
          <w:rFonts w:hint="eastAsia" w:ascii="宋体" w:hAnsi="宋体" w:eastAsia="宋体" w:cs="Times New Roman"/>
          <w:kern w:val="0"/>
          <w:sz w:val="21"/>
          <w:szCs w:val="21"/>
          <w:u w:val="single"/>
          <w:lang w:val="en-US" w:eastAsia="zh-CN" w:bidi="ar"/>
        </w:rPr>
        <w:t xml:space="preserve">          </w:t>
      </w:r>
      <w:r>
        <w:rPr>
          <w:rFonts w:hint="eastAsia" w:ascii="宋体" w:hAnsi="Times New Roman" w:eastAsia="宋体" w:cs="Times New Roman"/>
          <w:kern w:val="0"/>
          <w:sz w:val="21"/>
          <w:szCs w:val="21"/>
          <w:lang w:val="en-US" w:eastAsia="zh-CN" w:bidi="ar"/>
        </w:rPr>
        <w:t xml:space="preserve">       </w:t>
      </w:r>
      <w:r>
        <w:rPr>
          <w:rFonts w:hint="eastAsia" w:ascii="宋体" w:hAnsi="宋体" w:eastAsia="宋体" w:cs="宋体"/>
          <w:kern w:val="0"/>
          <w:sz w:val="21"/>
          <w:szCs w:val="21"/>
          <w:lang w:val="en-US" w:eastAsia="zh-CN" w:bidi="ar"/>
        </w:rPr>
        <w:t>手机号：</w:t>
      </w:r>
      <w:r>
        <w:rPr>
          <w:rFonts w:hint="eastAsia" w:ascii="宋体" w:hAnsi="Times New Roman" w:eastAsia="宋体" w:cs="Times New Roman"/>
          <w:kern w:val="0"/>
          <w:sz w:val="21"/>
          <w:szCs w:val="21"/>
          <w:u w:val="single"/>
          <w:lang w:val="en-US" w:eastAsia="zh-CN" w:bidi="ar"/>
        </w:rPr>
        <w:t xml:space="preserve">            </w:t>
      </w:r>
      <w:r>
        <w:rPr>
          <w:rFonts w:hint="eastAsia" w:ascii="宋体" w:hAnsi="Times New Roman" w:eastAsia="宋体" w:cs="Times New Roman"/>
          <w:kern w:val="0"/>
          <w:sz w:val="21"/>
          <w:szCs w:val="21"/>
          <w:lang w:val="en-US" w:eastAsia="zh-CN" w:bidi="ar"/>
        </w:rPr>
        <w:t xml:space="preserve"> </w:t>
      </w:r>
    </w:p>
    <w:p w14:paraId="34091BF6">
      <w:pPr>
        <w:keepNext w:val="0"/>
        <w:keepLines w:val="0"/>
        <w:widowControl/>
        <w:suppressLineNumbers w:val="0"/>
        <w:spacing w:before="0" w:beforeAutospacing="0" w:after="0" w:afterAutospacing="0" w:line="320" w:lineRule="exact"/>
        <w:ind w:left="-283" w:leftChars="-135" w:right="-199" w:rightChars="-95" w:firstLine="163" w:firstLineChars="78"/>
        <w:jc w:val="both"/>
        <w:rPr>
          <w:rFonts w:hint="default" w:ascii="Times New Roman" w:hAnsi="Times New Roman" w:eastAsia="宋体" w:cs="Times New Roman"/>
          <w:kern w:val="2"/>
          <w:sz w:val="21"/>
          <w:szCs w:val="21"/>
        </w:rPr>
      </w:pPr>
      <w:r>
        <w:rPr>
          <w:rFonts w:hint="eastAsia" w:ascii="宋体" w:hAnsi="宋体" w:eastAsia="宋体" w:cs="宋体"/>
          <w:kern w:val="0"/>
          <w:sz w:val="21"/>
          <w:szCs w:val="21"/>
          <w:lang w:val="en-US" w:eastAsia="zh-CN" w:bidi="ar"/>
        </w:rPr>
        <w:t>手机号：</w:t>
      </w:r>
      <w:r>
        <w:rPr>
          <w:rFonts w:hint="eastAsia" w:ascii="宋体" w:hAnsi="Times New Roman" w:eastAsia="宋体" w:cs="Times New Roman"/>
          <w:kern w:val="0"/>
          <w:sz w:val="21"/>
          <w:szCs w:val="21"/>
          <w:u w:val="single"/>
          <w:lang w:val="en-US" w:eastAsia="zh-CN" w:bidi="ar"/>
        </w:rPr>
        <w:t xml:space="preserve">               </w:t>
      </w:r>
      <w:r>
        <w:rPr>
          <w:rFonts w:hint="eastAsia" w:ascii="宋体" w:hAnsi="Times New Roman" w:eastAsia="宋体" w:cs="Times New Roman"/>
          <w:kern w:val="0"/>
          <w:sz w:val="21"/>
          <w:szCs w:val="21"/>
          <w:lang w:val="en-US" w:eastAsia="zh-CN" w:bidi="ar"/>
        </w:rPr>
        <w:t xml:space="preserve">                </w:t>
      </w:r>
      <w:r>
        <w:rPr>
          <w:rFonts w:hint="eastAsia" w:ascii="宋体" w:hAnsi="宋体" w:eastAsia="宋体" w:cs="Times New Roman"/>
          <w:kern w:val="0"/>
          <w:sz w:val="21"/>
          <w:szCs w:val="21"/>
          <w:lang w:val="en-US" w:eastAsia="zh-CN" w:bidi="ar"/>
        </w:rPr>
        <w:t xml:space="preserve">        </w:t>
      </w:r>
      <w:r>
        <w:rPr>
          <w:rFonts w:hint="eastAsia" w:ascii="Times New Roman" w:hAnsi="Times New Roman" w:eastAsia="宋体" w:cs="Times New Roman"/>
          <w:kern w:val="2"/>
          <w:sz w:val="21"/>
          <w:szCs w:val="21"/>
          <w:lang w:val="en-US" w:eastAsia="zh-CN" w:bidi="ar"/>
        </w:rPr>
        <w:t xml:space="preserve">  </w:t>
      </w:r>
      <w:r>
        <w:rPr>
          <w:rFonts w:hint="default" w:ascii="Times New Roman" w:hAnsi="Times New Roman" w:eastAsia="宋体" w:cs="Times New Roman"/>
          <w:kern w:val="2"/>
          <w:sz w:val="21"/>
          <w:szCs w:val="21"/>
          <w:lang w:val="en-US" w:eastAsia="zh-CN" w:bidi="ar"/>
        </w:rPr>
        <w:t xml:space="preserve">              </w:t>
      </w:r>
    </w:p>
    <w:p w14:paraId="0370BD6D">
      <w:pPr>
        <w:keepNext w:val="0"/>
        <w:keepLines w:val="0"/>
        <w:widowControl/>
        <w:suppressLineNumbers w:val="0"/>
        <w:spacing w:before="0" w:beforeAutospacing="0" w:after="0" w:afterAutospacing="0" w:line="320" w:lineRule="exact"/>
        <w:ind w:left="-283" w:leftChars="-135" w:right="-199" w:rightChars="-95" w:firstLine="163" w:firstLineChars="78"/>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202</w:t>
      </w:r>
      <w:r>
        <w:rPr>
          <w:rFonts w:hint="eastAsia" w:ascii="Times New Roman" w:hAnsi="Times New Roman"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年</w:t>
      </w:r>
      <w:r>
        <w:rPr>
          <w:rFonts w:hint="eastAsia"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Times New Roman" w:hAnsi="Times New Roman" w:eastAsia="宋体" w:cs="Times New Roman"/>
          <w:kern w:val="2"/>
          <w:sz w:val="21"/>
          <w:szCs w:val="21"/>
          <w:u w:val="single"/>
          <w:lang w:val="en-US" w:eastAsia="zh-CN" w:bidi="ar"/>
        </w:rPr>
        <w:t xml:space="preserve">   </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日</w:t>
      </w:r>
      <w:r>
        <w:rPr>
          <w:rFonts w:hint="eastAsia" w:ascii="Times New Roman" w:hAnsi="Times New Roman" w:eastAsia="宋体" w:cs="Times New Roman"/>
          <w:kern w:val="2"/>
          <w:sz w:val="21"/>
          <w:szCs w:val="21"/>
          <w:lang w:val="en-US" w:eastAsia="zh-CN" w:bidi="ar"/>
        </w:rPr>
        <w:t xml:space="preserve"> </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en-US" w:eastAsia="zh-CN" w:bidi="ar"/>
        </w:rPr>
        <w:t xml:space="preserve"> </w:t>
      </w:r>
      <w:bookmarkStart w:id="0" w:name="_GoBack"/>
      <w:bookmarkEnd w:id="0"/>
      <w:r>
        <w:rPr>
          <w:rFonts w:hint="default" w:ascii="Times New Roman" w:hAnsi="Times New Roman" w:eastAsia="宋体" w:cs="Times New Roman"/>
          <w:kern w:val="2"/>
          <w:sz w:val="21"/>
          <w:szCs w:val="21"/>
          <w:lang w:val="en-US" w:eastAsia="zh-CN" w:bidi="ar"/>
        </w:rPr>
        <w:t>202</w:t>
      </w:r>
      <w:r>
        <w:rPr>
          <w:rFonts w:hint="eastAsia" w:ascii="Times New Roman" w:hAnsi="Times New Roman"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年</w:t>
      </w:r>
      <w:r>
        <w:rPr>
          <w:rFonts w:hint="eastAsia"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Times New Roman" w:hAnsi="Times New Roman" w:eastAsia="宋体" w:cs="Times New Roman"/>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w:t>
      </w:r>
    </w:p>
    <w:p w14:paraId="74DAA16F">
      <w:pPr>
        <w:keepNext w:val="0"/>
        <w:keepLines w:val="0"/>
        <w:widowControl/>
        <w:suppressLineNumbers w:val="0"/>
        <w:snapToGrid w:val="0"/>
        <w:spacing w:before="0" w:beforeAutospacing="0" w:after="0" w:afterAutospacing="0" w:line="360" w:lineRule="exact"/>
        <w:ind w:left="0" w:right="-199" w:rightChars="-95"/>
        <w:jc w:val="both"/>
        <w:rPr>
          <w:rFonts w:hint="eastAsia" w:ascii="方正小标宋简体" w:hAnsi="Calibri" w:eastAsia="方正小标宋简体" w:cs="微软简标宋"/>
          <w:bCs/>
          <w:kern w:val="2"/>
          <w:sz w:val="36"/>
          <w:szCs w:val="36"/>
        </w:rPr>
      </w:pPr>
      <w:r>
        <w:rPr>
          <w:rFonts w:hint="eastAsia" w:ascii="宋体" w:hAnsi="宋体" w:eastAsia="宋体" w:cs="宋体"/>
          <w:kern w:val="0"/>
          <w:sz w:val="21"/>
          <w:szCs w:val="21"/>
          <w:lang w:val="en-US" w:eastAsia="zh-CN" w:bidi="ar"/>
        </w:rPr>
        <w:t xml:space="preserve">                              </w:t>
      </w:r>
    </w:p>
    <w:p w14:paraId="12054F8F">
      <w:pPr>
        <w:pStyle w:val="2"/>
        <w:rPr>
          <w:rFonts w:hint="eastAsia" w:asciiTheme="minorEastAsia" w:hAnsiTheme="minorEastAsia" w:eastAsiaTheme="minorEastAsia" w:cs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简标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04728"/>
    <w:rsid w:val="03220D7A"/>
    <w:rsid w:val="06C6367B"/>
    <w:rsid w:val="18C40C35"/>
    <w:rsid w:val="19654414"/>
    <w:rsid w:val="1AA01EDA"/>
    <w:rsid w:val="1D121820"/>
    <w:rsid w:val="20E70900"/>
    <w:rsid w:val="2CA90A4C"/>
    <w:rsid w:val="3E185F67"/>
    <w:rsid w:val="41E110D7"/>
    <w:rsid w:val="45EA6BDE"/>
    <w:rsid w:val="49884C4F"/>
    <w:rsid w:val="57F04728"/>
    <w:rsid w:val="67B15572"/>
    <w:rsid w:val="6D2D5AFA"/>
    <w:rsid w:val="74F256A9"/>
    <w:rsid w:val="781E0135"/>
    <w:rsid w:val="7DE66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300" w:lineRule="auto"/>
      <w:ind w:firstLine="556"/>
    </w:pPr>
    <w:rPr>
      <w:rFonts w:ascii="仿宋_GB2312" w:hAnsi="Times New Roman" w:eastAsia="仿宋_GB2312" w:cs="Times New Roman"/>
      <w:kern w:val="0"/>
      <w:szCs w:val="20"/>
    </w:rPr>
  </w:style>
  <w:style w:type="character" w:styleId="5">
    <w:name w:val="Hyperlink"/>
    <w:basedOn w:val="4"/>
    <w:semiHidden/>
    <w:unhideWhenUsed/>
    <w:qFormat/>
    <w:uiPriority w:val="99"/>
    <w:rPr>
      <w:color w:val="0000FF"/>
      <w:u w:val="single"/>
    </w:rPr>
  </w:style>
  <w:style w:type="paragraph" w:customStyle="1" w:styleId="6">
    <w:name w:val="Table Text"/>
    <w:basedOn w:val="1"/>
    <w:semiHidden/>
    <w:qFormat/>
    <w:uiPriority w:val="0"/>
    <w:rPr>
      <w:rFonts w:ascii="Arial" w:hAnsi="Arial" w:eastAsia="Arial" w:cs="Arial"/>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4109</Words>
  <Characters>4142</Characters>
  <Lines>1</Lines>
  <Paragraphs>1</Paragraphs>
  <TotalTime>2</TotalTime>
  <ScaleCrop>false</ScaleCrop>
  <LinksUpToDate>false</LinksUpToDate>
  <CharactersWithSpaces>4143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2025-01-22T02:07:00Z</dcterms:created>
  <dc:creator>裴一嫚</dc:creator>
  <cp:lastModifiedBy>刘荣鹤</cp:lastModifiedBy>
  <dcterms:modified xsi:type="dcterms:W3CDTF">2026-05-19T06:10:03Z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53DF6D3910B9445B80A8D8F0A580C8AA</vt:lpwstr>
  </property>
  <property fmtid="{D5CDD505-2E9C-101B-9397-08002B2CF9AE}" pid="4" name="KSOTemplateDocerSaveRecord">
    <vt:lpwstr>eyJoZGlkIjoiYjcxMzA5ZmMyYjQ1NmQyMmEwYjA5NjY3OGJkNGZmODAiLCJ1c2VySWQiOiIxNDk0NDA2MTQ1In0=</vt:lpwstr>
  </property>
</Properties>
</file>