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日照市福州路东、汕头路北25亩工业用地及地上钢结构等附着物、机器设备抵债资产</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w:t>
      </w:r>
      <w:bookmarkStart w:id="0" w:name="_GoBack"/>
      <w:bookmarkEnd w:id="0"/>
      <w:r>
        <w:rPr>
          <w:rFonts w:cs="宋体" w:asciiTheme="minorEastAsia" w:hAnsiTheme="minorEastAsia"/>
          <w:kern w:val="0"/>
          <w:szCs w:val="21"/>
        </w:rPr>
        <w:t>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1ED2F22"/>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4115</Words>
  <Characters>4158</Characters>
  <Lines>38</Lines>
  <Paragraphs>10</Paragraphs>
  <TotalTime>2</TotalTime>
  <ScaleCrop>false</ScaleCrop>
  <LinksUpToDate>false</LinksUpToDate>
  <CharactersWithSpaces>4422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2025-12-15T02:39:20Z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E9388A4C360545FFA8E01B6A00DBA93C_13</vt:lpwstr>
  </property>
  <property fmtid="{D5CDD505-2E9C-101B-9397-08002B2CF9AE}" pid="4" name="KSOTemplateDocerSaveRecord">
    <vt:lpwstr>eyJoZGlkIjoiNzI1ZjFmOTQwOTk0YzQ5MTA4MTIwMjljNWUzYTcwNzciLCJ1c2VySWQiOiI1NjMzMDc0NTYifQ==</vt:lpwstr>
  </property>
</Properties>
</file>